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C39" w:rsidRPr="00841EFF" w:rsidRDefault="00557C39" w:rsidP="008A5D2D">
      <w:pPr>
        <w:spacing w:after="0"/>
        <w:ind w:firstLine="566"/>
        <w:jc w:val="center"/>
        <w:rPr>
          <w:rFonts w:eastAsia="Times New Roman"/>
          <w:b/>
          <w:bCs/>
          <w:rtl/>
          <w:lang w:eastAsia="fr-FR"/>
        </w:rPr>
      </w:pPr>
      <w:bookmarkStart w:id="0" w:name="_GoBack"/>
      <w:bookmarkEnd w:id="0"/>
      <w:r w:rsidRPr="00841EFF">
        <w:rPr>
          <w:rFonts w:eastAsia="Times New Roman"/>
          <w:b/>
          <w:bCs/>
          <w:noProof/>
          <w:rtl/>
          <w:lang w:eastAsia="fr-FR" w:bidi="ar-SA"/>
        </w:rPr>
        <w:drawing>
          <wp:anchor distT="0" distB="0" distL="114300" distR="114300" simplePos="0" relativeHeight="251664384" behindDoc="0" locked="0" layoutInCell="1" allowOverlap="1">
            <wp:simplePos x="0" y="0"/>
            <wp:positionH relativeFrom="margin">
              <wp:align>left</wp:align>
            </wp:positionH>
            <wp:positionV relativeFrom="paragraph">
              <wp:posOffset>-6540</wp:posOffset>
            </wp:positionV>
            <wp:extent cx="1174833" cy="1196531"/>
            <wp:effectExtent l="0" t="0" r="6350" b="3810"/>
            <wp:wrapNone/>
            <wp:docPr id="17" name="صورة 17" descr="C:\Users\ALGDragon\Documents\Univ Mohamed Boudiaf Msi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GDragon\Documents\Univ Mohamed Boudiaf Msil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833" cy="1196531"/>
                    </a:xfrm>
                    <a:prstGeom prst="rect">
                      <a:avLst/>
                    </a:prstGeom>
                    <a:noFill/>
                    <a:ln>
                      <a:noFill/>
                    </a:ln>
                  </pic:spPr>
                </pic:pic>
              </a:graphicData>
            </a:graphic>
          </wp:anchor>
        </w:drawing>
      </w:r>
      <w:r w:rsidRPr="00841EFF">
        <w:rPr>
          <w:rFonts w:eastAsia="Times New Roman"/>
          <w:b/>
          <w:bCs/>
          <w:noProof/>
          <w:rtl/>
          <w:lang w:eastAsia="fr-FR" w:bidi="ar-SA"/>
        </w:rPr>
        <w:drawing>
          <wp:anchor distT="0" distB="0" distL="114300" distR="114300" simplePos="0" relativeHeight="251662336" behindDoc="0" locked="0" layoutInCell="1" allowOverlap="1">
            <wp:simplePos x="0" y="0"/>
            <wp:positionH relativeFrom="column">
              <wp:posOffset>4610076</wp:posOffset>
            </wp:positionH>
            <wp:positionV relativeFrom="paragraph">
              <wp:posOffset>-18530</wp:posOffset>
            </wp:positionV>
            <wp:extent cx="1174833" cy="1196531"/>
            <wp:effectExtent l="19050" t="0" r="6267" b="0"/>
            <wp:wrapNone/>
            <wp:docPr id="9" name="صورة 9" descr="C:\Users\ALGDragon\Documents\Univ Mohamed Boudiaf Msi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GDragon\Documents\Univ Mohamed Boudiaf Msila.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74833" cy="1196531"/>
                    </a:xfrm>
                    <a:prstGeom prst="rect">
                      <a:avLst/>
                    </a:prstGeom>
                    <a:noFill/>
                    <a:ln>
                      <a:noFill/>
                    </a:ln>
                  </pic:spPr>
                </pic:pic>
              </a:graphicData>
            </a:graphic>
          </wp:anchor>
        </w:drawing>
      </w:r>
      <w:r w:rsidR="00BB7C56">
        <w:rPr>
          <w:noProof/>
          <w:rtl/>
          <w:lang w:val="en-US" w:bidi="ar-SA"/>
        </w:rPr>
        <w:pict>
          <v:roundrect id="مستطيل مستدير الزوايا 11" o:spid="_x0000_s1026" style="position:absolute;left:0;text-align:left;margin-left:-34.95pt;margin-top:-19.85pt;width:522.4pt;height:766.8pt;z-index:251660288;visibility:visible;mso-position-horizontal-relative:text;mso-position-vertical-relative:text;mso-width-relative:margin;mso-height-relative:margin;v-text-anchor:middle" arcsize="42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" filled="f" strokecolor="black [1600]" strokeweight="6pt">
            <v:stroke linestyle="thickThin" joinstyle="miter"/>
            <v:path arrowok="t"/>
          </v:roundrect>
        </w:pict>
      </w:r>
    </w:p>
    <w:p w:rsidR="00557C39" w:rsidRPr="00841EFF" w:rsidRDefault="00557C39" w:rsidP="008A5D2D">
      <w:pPr>
        <w:spacing w:after="0"/>
        <w:ind w:firstLine="566"/>
        <w:jc w:val="center"/>
        <w:rPr>
          <w:rFonts w:eastAsia="Times New Roman"/>
          <w:b/>
          <w:bCs/>
          <w:rtl/>
          <w:lang w:eastAsia="fr-FR"/>
        </w:rPr>
      </w:pPr>
    </w:p>
    <w:p w:rsidR="00557C39" w:rsidRPr="00841EFF" w:rsidRDefault="00557C39" w:rsidP="008A5D2D">
      <w:pPr>
        <w:spacing w:after="0"/>
        <w:ind w:firstLine="566"/>
        <w:jc w:val="center"/>
        <w:rPr>
          <w:rFonts w:eastAsia="Times New Roman"/>
          <w:b/>
          <w:bCs/>
          <w:lang w:eastAsia="fr-FR"/>
        </w:rPr>
      </w:pPr>
      <w:r w:rsidRPr="00841EFF">
        <w:rPr>
          <w:rFonts w:eastAsia="Times New Roman"/>
          <w:b/>
          <w:bCs/>
          <w:rtl/>
          <w:lang w:eastAsia="fr-FR"/>
        </w:rPr>
        <w:t>جامعة محمد بوضياف المسيلة</w:t>
      </w:r>
    </w:p>
    <w:p w:rsidR="00557C39" w:rsidRPr="00841EFF" w:rsidRDefault="00557C39" w:rsidP="008A5D2D">
      <w:pPr>
        <w:spacing w:after="0"/>
        <w:ind w:firstLine="566"/>
        <w:jc w:val="center"/>
        <w:rPr>
          <w:rFonts w:eastAsia="Times New Roman"/>
          <w:b/>
          <w:bCs/>
          <w:rtl/>
          <w:lang w:eastAsia="fr-FR"/>
        </w:rPr>
      </w:pPr>
    </w:p>
    <w:p w:rsidR="00557C39" w:rsidRPr="00841EFF" w:rsidRDefault="00557C39" w:rsidP="008A5D2D">
      <w:pPr>
        <w:spacing w:after="0" w:line="360" w:lineRule="auto"/>
        <w:ind w:firstLine="566"/>
        <w:rPr>
          <w:rFonts w:eastAsia="Times New Roman"/>
          <w:b/>
          <w:bCs/>
          <w:rtl/>
          <w:lang w:eastAsia="fr-FR"/>
        </w:rPr>
      </w:pPr>
    </w:p>
    <w:p w:rsidR="00557C39" w:rsidRPr="00841EFF" w:rsidRDefault="00557C39" w:rsidP="008A5D2D">
      <w:pPr>
        <w:spacing w:after="0" w:line="360" w:lineRule="auto"/>
        <w:ind w:firstLine="566"/>
        <w:rPr>
          <w:rFonts w:eastAsia="Times New Roman"/>
          <w:b/>
          <w:bCs/>
          <w:lang w:eastAsia="fr-FR"/>
        </w:rPr>
      </w:pPr>
      <w:r w:rsidRPr="00841EFF">
        <w:rPr>
          <w:rFonts w:eastAsia="Times New Roman"/>
          <w:b/>
          <w:bCs/>
          <w:rtl/>
          <w:lang w:eastAsia="fr-FR"/>
        </w:rPr>
        <w:t xml:space="preserve">كلية </w:t>
      </w:r>
      <w:r w:rsidRPr="00841EFF">
        <w:rPr>
          <w:rFonts w:eastAsia="Times New Roman" w:hint="cs"/>
          <w:b/>
          <w:bCs/>
          <w:rtl/>
          <w:lang w:eastAsia="fr-FR"/>
        </w:rPr>
        <w:t>الحقوق والعلوم السياسية</w:t>
      </w:r>
    </w:p>
    <w:p w:rsidR="00557C39" w:rsidRPr="00B23640" w:rsidRDefault="00557C39" w:rsidP="00B23640">
      <w:pPr>
        <w:tabs>
          <w:tab w:val="left" w:pos="5651"/>
        </w:tabs>
        <w:rPr>
          <w:rFonts w:ascii="Times New Roman" w:eastAsia="Times New Roman" w:hAnsi="Times New Roman" w:cs="Traditional Arabic"/>
          <w:b/>
          <w:bCs/>
          <w:sz w:val="36"/>
          <w:szCs w:val="36"/>
          <w:rtl/>
          <w:lang w:eastAsia="fr-FR" w:bidi="ar-SA"/>
        </w:rPr>
      </w:pPr>
      <w:r w:rsidRPr="00841EFF">
        <w:rPr>
          <w:rFonts w:eastAsia="Times New Roman"/>
          <w:b/>
          <w:bCs/>
          <w:rtl/>
          <w:lang w:eastAsia="fr-FR"/>
        </w:rPr>
        <w:t xml:space="preserve">قســــــــم </w:t>
      </w:r>
      <w:r w:rsidRPr="00841EFF">
        <w:rPr>
          <w:rFonts w:eastAsia="Times New Roman" w:hint="cs"/>
          <w:b/>
          <w:bCs/>
          <w:rtl/>
          <w:lang w:eastAsia="fr-FR"/>
        </w:rPr>
        <w:t>الحقوق</w:t>
      </w:r>
      <w:r w:rsidR="00B23640">
        <w:rPr>
          <w:rFonts w:eastAsia="Times New Roman"/>
          <w:b/>
          <w:bCs/>
          <w:rtl/>
          <w:lang w:eastAsia="fr-FR"/>
        </w:rPr>
        <w:tab/>
      </w:r>
      <w:r w:rsidR="00B23640" w:rsidRPr="00B23640">
        <w:rPr>
          <w:rFonts w:ascii="Times New Roman" w:eastAsia="Times New Roman" w:hAnsi="Times New Roman" w:cs="Traditional Arabic" w:hint="cs"/>
          <w:b/>
          <w:bCs/>
          <w:noProof/>
          <w:sz w:val="36"/>
          <w:szCs w:val="36"/>
          <w:rtl/>
          <w:lang w:val="en-US" w:bidi="ar-SA"/>
        </w:rPr>
        <w:t>الرقم التسلسلي:...............</w:t>
      </w:r>
    </w:p>
    <w:p w:rsidR="00557C39" w:rsidRPr="00841EFF" w:rsidRDefault="00BB7C56" w:rsidP="008A5D2D">
      <w:pPr>
        <w:spacing w:after="0" w:line="360" w:lineRule="auto"/>
        <w:ind w:firstLine="566"/>
        <w:jc w:val="center"/>
        <w:rPr>
          <w:rFonts w:eastAsia="Times New Roman"/>
          <w:b/>
          <w:bCs/>
          <w:rtl/>
          <w:lang w:eastAsia="fr-FR"/>
        </w:rPr>
      </w:pPr>
      <w:r>
        <w:rPr>
          <w:noProof/>
          <w:rtl/>
          <w:lang w:val="en-US" w:bidi="ar-SA"/>
        </w:rPr>
        <w:pict>
          <v:roundrect id="مستطيل مستدير الزوايا 13" o:spid="_x0000_s1037" style="position:absolute;left:0;text-align:left;margin-left:2388.2pt;margin-top:2.75pt;width:445.5pt;height:139.65pt;z-index:251661312;visibility:visible;mso-position-horizontal:righ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" fillcolor="#f2f2f2 [3052]" strokecolor="black [3213]" strokeweight="3pt">
            <v:stroke linestyle="thinThin" joinstyle="miter"/>
            <v:path arrowok="t"/>
            <v:textbox>
              <w:txbxContent>
                <w:p w:rsidR="0012210E" w:rsidRPr="00CB1ACF" w:rsidRDefault="0012210E" w:rsidP="00557C39">
                  <w:pPr>
                    <w:spacing w:after="0"/>
                    <w:ind w:left="-293" w:right="-284"/>
                    <w:jc w:val="center"/>
                    <w:rPr>
                      <w:rFonts w:eastAsia="Times New Roman"/>
                      <w:bCs/>
                      <w:color w:val="000000" w:themeColor="text1"/>
                      <w:sz w:val="80"/>
                      <w:szCs w:val="80"/>
                      <w:rtl/>
                    </w:rPr>
                  </w:pPr>
                  <w:r w:rsidRPr="00CB1ACF">
                    <w:rPr>
                      <w:rFonts w:eastAsia="Times New Roman" w:hint="cs"/>
                      <w:bCs/>
                      <w:color w:val="000000" w:themeColor="text1"/>
                      <w:sz w:val="80"/>
                      <w:szCs w:val="80"/>
                      <w:rtl/>
                    </w:rPr>
                    <w:t xml:space="preserve">نظام الصلح بين الزوجين </w:t>
                  </w:r>
                </w:p>
                <w:p w:rsidR="0012210E" w:rsidRPr="008D252B" w:rsidRDefault="0012210E" w:rsidP="00557C39">
                  <w:pPr>
                    <w:spacing w:after="0"/>
                    <w:ind w:left="-293" w:right="-284"/>
                    <w:jc w:val="center"/>
                    <w:rPr>
                      <w:rFonts w:eastAsia="Times New Roman"/>
                      <w:bCs/>
                      <w:color w:val="000000" w:themeColor="text1"/>
                      <w:sz w:val="52"/>
                      <w:szCs w:val="52"/>
                    </w:rPr>
                  </w:pPr>
                  <w:r w:rsidRPr="00CB1ACF">
                    <w:rPr>
                      <w:rFonts w:eastAsia="Times New Roman" w:hint="cs"/>
                      <w:bCs/>
                      <w:color w:val="000000" w:themeColor="text1"/>
                      <w:sz w:val="52"/>
                      <w:szCs w:val="52"/>
                      <w:rtl/>
                    </w:rPr>
                    <w:t>دراسة مقارنة بين الفقه</w:t>
                  </w:r>
                  <w:r>
                    <w:rPr>
                      <w:rFonts w:eastAsia="Times New Roman" w:hint="cs"/>
                      <w:bCs/>
                      <w:color w:val="000000" w:themeColor="text1"/>
                      <w:sz w:val="52"/>
                      <w:szCs w:val="52"/>
                      <w:rtl/>
                    </w:rPr>
                    <w:t xml:space="preserve"> الإسلامي</w:t>
                  </w:r>
                  <w:r w:rsidRPr="00CB1ACF">
                    <w:rPr>
                      <w:rFonts w:eastAsia="Times New Roman" w:hint="cs"/>
                      <w:bCs/>
                      <w:color w:val="000000" w:themeColor="text1"/>
                      <w:sz w:val="52"/>
                      <w:szCs w:val="52"/>
                      <w:rtl/>
                    </w:rPr>
                    <w:t xml:space="preserve"> والقانون</w:t>
                  </w:r>
                  <w:r w:rsidRPr="008D252B">
                    <w:rPr>
                      <w:rFonts w:eastAsia="Times New Roman" w:hint="cs"/>
                      <w:bCs/>
                      <w:color w:val="000000" w:themeColor="text1"/>
                      <w:sz w:val="52"/>
                      <w:szCs w:val="52"/>
                      <w:rtl/>
                    </w:rPr>
                    <w:t xml:space="preserve"> الجزائري</w:t>
                  </w:r>
                </w:p>
              </w:txbxContent>
            </v:textbox>
            <w10:wrap anchorx="margin"/>
          </v:roundrect>
        </w:pict>
      </w:r>
    </w:p>
    <w:p w:rsidR="00557C39" w:rsidRPr="00841EFF" w:rsidRDefault="00557C39" w:rsidP="008A5D2D">
      <w:pPr>
        <w:spacing w:after="0" w:line="360" w:lineRule="auto"/>
        <w:ind w:firstLine="566"/>
        <w:jc w:val="center"/>
        <w:rPr>
          <w:rFonts w:eastAsia="Times New Roman"/>
          <w:b/>
          <w:bCs/>
          <w:rtl/>
          <w:lang w:eastAsia="fr-FR"/>
        </w:rPr>
      </w:pPr>
    </w:p>
    <w:p w:rsidR="00557C39" w:rsidRPr="00841EFF" w:rsidRDefault="00557C39" w:rsidP="008A5D2D">
      <w:pPr>
        <w:tabs>
          <w:tab w:val="left" w:pos="852"/>
        </w:tabs>
        <w:spacing w:after="0" w:line="240" w:lineRule="auto"/>
        <w:ind w:firstLine="566"/>
        <w:rPr>
          <w:rFonts w:eastAsia="Times New Roman"/>
          <w:b/>
          <w:bCs/>
          <w:sz w:val="96"/>
          <w:szCs w:val="96"/>
          <w:lang w:eastAsia="fr-FR"/>
        </w:rPr>
      </w:pPr>
      <w:r w:rsidRPr="00841EFF">
        <w:rPr>
          <w:rFonts w:eastAsia="Times New Roman"/>
          <w:b/>
          <w:bCs/>
          <w:sz w:val="96"/>
          <w:szCs w:val="96"/>
          <w:rtl/>
          <w:lang w:eastAsia="fr-FR"/>
        </w:rPr>
        <w:tab/>
      </w:r>
    </w:p>
    <w:p w:rsidR="00557C39" w:rsidRPr="00841EFF" w:rsidRDefault="00557C39" w:rsidP="008A5D2D">
      <w:pPr>
        <w:spacing w:after="0" w:line="240" w:lineRule="auto"/>
        <w:ind w:firstLine="566"/>
        <w:jc w:val="center"/>
        <w:rPr>
          <w:rFonts w:eastAsia="Times New Roman"/>
          <w:b/>
          <w:bCs/>
          <w:sz w:val="36"/>
          <w:szCs w:val="36"/>
          <w:rtl/>
          <w:lang w:eastAsia="fr-FR"/>
        </w:rPr>
      </w:pPr>
      <w:r w:rsidRPr="00841EFF">
        <w:rPr>
          <w:rFonts w:eastAsia="Times New Roman"/>
          <w:b/>
          <w:bCs/>
          <w:sz w:val="36"/>
          <w:szCs w:val="36"/>
          <w:rtl/>
          <w:lang w:eastAsia="fr-FR"/>
        </w:rPr>
        <w:t xml:space="preserve">مذكرة مكملة لنيل شهادة الماستر في: </w:t>
      </w:r>
      <w:r w:rsidRPr="00841EFF">
        <w:rPr>
          <w:rFonts w:eastAsia="Times New Roman" w:hint="cs"/>
          <w:b/>
          <w:bCs/>
          <w:sz w:val="36"/>
          <w:szCs w:val="36"/>
          <w:rtl/>
          <w:lang w:eastAsia="fr-FR"/>
        </w:rPr>
        <w:t>الحقوق</w:t>
      </w:r>
    </w:p>
    <w:p w:rsidR="00557C39" w:rsidRPr="00841EFF" w:rsidRDefault="00557C39" w:rsidP="008A5D2D">
      <w:pPr>
        <w:spacing w:after="0" w:line="240" w:lineRule="auto"/>
        <w:ind w:firstLine="566"/>
        <w:jc w:val="center"/>
        <w:rPr>
          <w:rFonts w:eastAsia="Times New Roman"/>
          <w:b/>
          <w:bCs/>
          <w:sz w:val="36"/>
          <w:szCs w:val="36"/>
          <w:rtl/>
          <w:lang w:eastAsia="fr-FR"/>
        </w:rPr>
      </w:pPr>
      <w:r w:rsidRPr="00841EFF">
        <w:rPr>
          <w:rFonts w:eastAsia="Times New Roman"/>
          <w:b/>
          <w:bCs/>
          <w:sz w:val="36"/>
          <w:szCs w:val="36"/>
          <w:rtl/>
          <w:lang w:eastAsia="fr-FR"/>
        </w:rPr>
        <w:t xml:space="preserve">تخصص: </w:t>
      </w:r>
      <w:r w:rsidRPr="00841EFF">
        <w:rPr>
          <w:rFonts w:eastAsia="Times New Roman" w:hint="cs"/>
          <w:b/>
          <w:bCs/>
          <w:sz w:val="36"/>
          <w:szCs w:val="36"/>
          <w:rtl/>
          <w:lang w:eastAsia="fr-FR"/>
        </w:rPr>
        <w:t>قانون الأحوال الشخصي</w:t>
      </w:r>
      <w:r w:rsidRPr="00841EFF">
        <w:rPr>
          <w:rFonts w:eastAsia="Times New Roman" w:hint="eastAsia"/>
          <w:b/>
          <w:bCs/>
          <w:sz w:val="36"/>
          <w:szCs w:val="36"/>
          <w:rtl/>
          <w:lang w:eastAsia="fr-FR"/>
        </w:rPr>
        <w:t>ة</w:t>
      </w:r>
    </w:p>
    <w:p w:rsidR="00557C39" w:rsidRPr="00841EFF" w:rsidRDefault="00557C39" w:rsidP="00B23640">
      <w:pPr>
        <w:tabs>
          <w:tab w:val="left" w:pos="6591"/>
        </w:tabs>
        <w:spacing w:after="0" w:line="240" w:lineRule="auto"/>
        <w:ind w:firstLine="566"/>
        <w:rPr>
          <w:rFonts w:eastAsia="Times New Roman"/>
          <w:b/>
          <w:bCs/>
          <w:rtl/>
          <w:lang w:eastAsia="fr-FR"/>
        </w:rPr>
      </w:pPr>
      <w:r w:rsidRPr="00841EFF">
        <w:rPr>
          <w:rFonts w:eastAsia="Times New Roman"/>
          <w:b/>
          <w:bCs/>
          <w:rtl/>
          <w:lang w:eastAsia="fr-FR"/>
        </w:rPr>
        <w:t xml:space="preserve">إعداد الطالب:   </w:t>
      </w:r>
      <w:r w:rsidRPr="00841EFF">
        <w:rPr>
          <w:rFonts w:eastAsia="Times New Roman"/>
          <w:b/>
          <w:bCs/>
          <w:rtl/>
          <w:lang w:eastAsia="fr-FR"/>
        </w:rPr>
        <w:tab/>
      </w:r>
      <w:r w:rsidR="00B23640">
        <w:rPr>
          <w:rFonts w:eastAsia="Times New Roman"/>
          <w:b/>
          <w:bCs/>
          <w:lang w:eastAsia="fr-FR"/>
        </w:rPr>
        <w:t xml:space="preserve"> </w:t>
      </w:r>
    </w:p>
    <w:p w:rsidR="00557C39" w:rsidRPr="00841EFF" w:rsidRDefault="00CB1ACF" w:rsidP="00B23640">
      <w:pPr>
        <w:tabs>
          <w:tab w:val="left" w:pos="6591"/>
        </w:tabs>
        <w:spacing w:after="0" w:line="240" w:lineRule="auto"/>
        <w:ind w:firstLine="566"/>
        <w:rPr>
          <w:rFonts w:eastAsia="Times New Roman"/>
          <w:sz w:val="40"/>
          <w:szCs w:val="40"/>
          <w:rtl/>
          <w:lang w:eastAsia="fr-FR"/>
        </w:rPr>
      </w:pPr>
      <w:r>
        <w:rPr>
          <w:rFonts w:eastAsia="Times New Roman" w:hint="cs"/>
          <w:sz w:val="40"/>
          <w:szCs w:val="40"/>
          <w:rtl/>
          <w:lang w:eastAsia="fr-FR"/>
        </w:rPr>
        <w:t>رقيق بدر الدين</w:t>
      </w:r>
      <w:r w:rsidR="00557C39" w:rsidRPr="00841EFF">
        <w:rPr>
          <w:rFonts w:eastAsia="Times New Roman"/>
          <w:sz w:val="40"/>
          <w:szCs w:val="40"/>
          <w:rtl/>
          <w:lang w:eastAsia="fr-FR"/>
        </w:rPr>
        <w:tab/>
      </w:r>
      <w:r w:rsidR="00557C39" w:rsidRPr="00841EFF">
        <w:rPr>
          <w:rFonts w:eastAsia="Times New Roman" w:hint="cs"/>
          <w:sz w:val="40"/>
          <w:szCs w:val="40"/>
          <w:rtl/>
          <w:lang w:eastAsia="fr-FR"/>
        </w:rPr>
        <w:t xml:space="preserve"> </w:t>
      </w:r>
      <w:r w:rsidR="00B23640">
        <w:rPr>
          <w:rFonts w:eastAsia="Times New Roman"/>
          <w:sz w:val="40"/>
          <w:szCs w:val="40"/>
          <w:lang w:eastAsia="fr-FR"/>
        </w:rPr>
        <w:t xml:space="preserve"> </w:t>
      </w:r>
    </w:p>
    <w:p w:rsidR="00B23640" w:rsidRDefault="00B23640" w:rsidP="00B23640">
      <w:pPr>
        <w:tabs>
          <w:tab w:val="left" w:pos="2856"/>
        </w:tabs>
        <w:spacing w:after="0" w:line="240" w:lineRule="auto"/>
        <w:rPr>
          <w:rFonts w:ascii="Times New Roman" w:eastAsia="Times New Roman" w:hAnsi="Times New Roman"/>
          <w:b/>
          <w:bCs/>
          <w:sz w:val="40"/>
          <w:szCs w:val="40"/>
          <w:lang w:val="en-US" w:eastAsia="fr-FR"/>
        </w:rPr>
      </w:pPr>
    </w:p>
    <w:p w:rsidR="00B23640" w:rsidRPr="00B23640" w:rsidRDefault="00B23640" w:rsidP="00B23640">
      <w:pPr>
        <w:tabs>
          <w:tab w:val="left" w:pos="2856"/>
        </w:tabs>
        <w:spacing w:after="0" w:line="240" w:lineRule="auto"/>
        <w:rPr>
          <w:rFonts w:ascii="Times New Roman" w:eastAsia="Times New Roman" w:hAnsi="Times New Roman"/>
          <w:b/>
          <w:bCs/>
          <w:sz w:val="40"/>
          <w:szCs w:val="40"/>
          <w:lang w:val="en-US" w:eastAsia="fr-FR"/>
        </w:rPr>
      </w:pPr>
      <w:r w:rsidRPr="00B23640">
        <w:rPr>
          <w:rFonts w:ascii="Times New Roman" w:eastAsia="Times New Roman" w:hAnsi="Times New Roman"/>
          <w:b/>
          <w:bCs/>
          <w:sz w:val="40"/>
          <w:szCs w:val="40"/>
          <w:rtl/>
          <w:lang w:val="en-US" w:eastAsia="fr-FR"/>
        </w:rPr>
        <w:t>أعضاء لجنة المناقشة :</w:t>
      </w:r>
    </w:p>
    <w:tbl>
      <w:tblPr>
        <w:tblStyle w:val="Grilledutableau1"/>
        <w:bidiVisual/>
        <w:tblW w:w="0" w:type="auto"/>
        <w:tblLook w:val="04A0" w:firstRow="1" w:lastRow="0" w:firstColumn="1" w:lastColumn="0" w:noHBand="0" w:noVBand="1"/>
      </w:tblPr>
      <w:tblGrid>
        <w:gridCol w:w="1468"/>
        <w:gridCol w:w="4536"/>
        <w:gridCol w:w="2442"/>
      </w:tblGrid>
      <w:tr w:rsidR="00B23640" w:rsidRPr="00B23640" w:rsidTr="00B23640">
        <w:tc>
          <w:tcPr>
            <w:tcW w:w="1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 xml:space="preserve">الأستاذ(ة):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3640" w:rsidRPr="00B23640" w:rsidRDefault="00B23640" w:rsidP="00B23640">
            <w:pPr>
              <w:tabs>
                <w:tab w:val="left" w:pos="2856"/>
              </w:tabs>
              <w:jc w:val="center"/>
              <w:rPr>
                <w:rFonts w:ascii="Times New Roman" w:eastAsia="Times New Roman" w:hAnsi="Times New Roman"/>
                <w:b/>
                <w:bCs/>
                <w:sz w:val="32"/>
                <w:szCs w:val="32"/>
                <w:lang w:val="en-US"/>
              </w:rPr>
            </w:pPr>
            <w:proofErr w:type="spellStart"/>
            <w:r>
              <w:rPr>
                <w:rFonts w:ascii="Times New Roman" w:eastAsia="Times New Roman" w:hAnsi="Times New Roman" w:hint="cs"/>
                <w:b/>
                <w:bCs/>
                <w:sz w:val="32"/>
                <w:szCs w:val="32"/>
                <w:rtl/>
                <w:lang w:val="en-US"/>
              </w:rPr>
              <w:t>سريش</w:t>
            </w:r>
            <w:proofErr w:type="spellEnd"/>
            <w:r>
              <w:rPr>
                <w:rFonts w:ascii="Times New Roman" w:eastAsia="Times New Roman" w:hAnsi="Times New Roman" w:hint="cs"/>
                <w:b/>
                <w:bCs/>
                <w:sz w:val="32"/>
                <w:szCs w:val="32"/>
                <w:rtl/>
                <w:lang w:val="en-US"/>
              </w:rPr>
              <w:t xml:space="preserve"> الطاهر </w:t>
            </w:r>
          </w:p>
        </w:tc>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jc w:val="center"/>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رئيسا.</w:t>
            </w:r>
          </w:p>
        </w:tc>
      </w:tr>
      <w:tr w:rsidR="00B23640" w:rsidRPr="00B23640" w:rsidTr="00B23640">
        <w:tc>
          <w:tcPr>
            <w:tcW w:w="1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 xml:space="preserve">الأستاذ(ة):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jc w:val="center"/>
              <w:rPr>
                <w:rFonts w:ascii="Times New Roman" w:eastAsia="Times New Roman" w:hAnsi="Times New Roman"/>
                <w:b/>
                <w:bCs/>
                <w:sz w:val="32"/>
                <w:szCs w:val="32"/>
                <w:lang w:val="en-US"/>
              </w:rPr>
            </w:pPr>
            <w:r>
              <w:rPr>
                <w:rFonts w:ascii="Times New Roman" w:eastAsia="Times New Roman" w:hAnsi="Times New Roman" w:hint="cs"/>
                <w:b/>
                <w:bCs/>
                <w:sz w:val="32"/>
                <w:szCs w:val="32"/>
                <w:rtl/>
                <w:lang w:val="en-US"/>
              </w:rPr>
              <w:t xml:space="preserve">      </w:t>
            </w:r>
            <w:r>
              <w:rPr>
                <w:rFonts w:ascii="Times New Roman" w:eastAsia="Times New Roman" w:hAnsi="Times New Roman"/>
                <w:b/>
                <w:bCs/>
                <w:sz w:val="32"/>
                <w:szCs w:val="32"/>
                <w:lang w:val="en-US"/>
              </w:rPr>
              <w:t xml:space="preserve"> </w:t>
            </w:r>
            <w:r>
              <w:rPr>
                <w:rFonts w:ascii="Times New Roman" w:eastAsia="Times New Roman" w:hAnsi="Times New Roman" w:hint="cs"/>
                <w:b/>
                <w:bCs/>
                <w:sz w:val="32"/>
                <w:szCs w:val="32"/>
                <w:rtl/>
                <w:lang w:val="en-US"/>
              </w:rPr>
              <w:t>حمادي عبد الفتاح</w:t>
            </w:r>
            <w:r w:rsidRPr="00B23640">
              <w:rPr>
                <w:rFonts w:ascii="Times New Roman" w:eastAsia="Times New Roman" w:hAnsi="Times New Roman"/>
                <w:b/>
                <w:bCs/>
                <w:sz w:val="32"/>
                <w:szCs w:val="32"/>
                <w:rtl/>
                <w:lang w:val="en-US"/>
              </w:rPr>
              <w:t xml:space="preserve"> </w:t>
            </w:r>
            <w:r>
              <w:rPr>
                <w:rFonts w:ascii="Times New Roman" w:eastAsia="Times New Roman" w:hAnsi="Times New Roman"/>
                <w:b/>
                <w:bCs/>
                <w:sz w:val="32"/>
                <w:szCs w:val="32"/>
                <w:lang w:val="en-US"/>
              </w:rPr>
              <w:t xml:space="preserve"> </w:t>
            </w:r>
          </w:p>
        </w:tc>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jc w:val="center"/>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مشرفا.</w:t>
            </w:r>
          </w:p>
        </w:tc>
      </w:tr>
      <w:tr w:rsidR="00B23640" w:rsidRPr="00B23640" w:rsidTr="00B23640">
        <w:tc>
          <w:tcPr>
            <w:tcW w:w="14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 xml:space="preserve">الأستاذ(ة): </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23640" w:rsidRPr="00B23640" w:rsidRDefault="00B23640" w:rsidP="00B23640">
            <w:pPr>
              <w:tabs>
                <w:tab w:val="left" w:pos="2856"/>
              </w:tabs>
              <w:rPr>
                <w:rFonts w:ascii="Times New Roman" w:eastAsia="Times New Roman" w:hAnsi="Times New Roman"/>
                <w:b/>
                <w:bCs/>
                <w:sz w:val="32"/>
                <w:szCs w:val="32"/>
                <w:lang w:val="en-US"/>
              </w:rPr>
            </w:pPr>
            <w:r>
              <w:rPr>
                <w:rFonts w:ascii="Times New Roman" w:eastAsia="Times New Roman" w:hAnsi="Times New Roman" w:hint="cs"/>
                <w:b/>
                <w:bCs/>
                <w:sz w:val="32"/>
                <w:szCs w:val="32"/>
                <w:rtl/>
                <w:lang w:val="en-US"/>
              </w:rPr>
              <w:t xml:space="preserve">                 ميرة وليد</w:t>
            </w:r>
          </w:p>
        </w:tc>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23640" w:rsidRPr="00B23640" w:rsidRDefault="00B23640" w:rsidP="00B23640">
            <w:pPr>
              <w:tabs>
                <w:tab w:val="left" w:pos="2856"/>
              </w:tabs>
              <w:jc w:val="center"/>
              <w:rPr>
                <w:rFonts w:ascii="Times New Roman" w:eastAsia="Times New Roman" w:hAnsi="Times New Roman"/>
                <w:b/>
                <w:bCs/>
                <w:sz w:val="32"/>
                <w:szCs w:val="32"/>
                <w:lang w:val="en-US"/>
              </w:rPr>
            </w:pPr>
            <w:r w:rsidRPr="00B23640">
              <w:rPr>
                <w:rFonts w:ascii="Times New Roman" w:eastAsia="Times New Roman" w:hAnsi="Times New Roman"/>
                <w:b/>
                <w:bCs/>
                <w:sz w:val="32"/>
                <w:szCs w:val="32"/>
                <w:rtl/>
                <w:lang w:val="en-US"/>
              </w:rPr>
              <w:t>مناقشا.</w:t>
            </w:r>
          </w:p>
        </w:tc>
      </w:tr>
    </w:tbl>
    <w:p w:rsidR="00557C39" w:rsidRPr="00841EFF" w:rsidRDefault="00557C39" w:rsidP="008A5D2D">
      <w:pPr>
        <w:spacing w:after="0" w:line="240" w:lineRule="auto"/>
        <w:ind w:firstLine="566"/>
        <w:rPr>
          <w:rFonts w:eastAsia="Times New Roman"/>
          <w:b/>
          <w:bCs/>
          <w:rtl/>
          <w:lang w:eastAsia="fr-FR"/>
        </w:rPr>
      </w:pPr>
    </w:p>
    <w:p w:rsidR="00557C39" w:rsidRPr="00841EFF" w:rsidRDefault="00BB7C56" w:rsidP="00B23640">
      <w:pPr>
        <w:spacing w:after="0" w:line="240" w:lineRule="auto"/>
        <w:ind w:firstLine="566"/>
        <w:rPr>
          <w:rFonts w:eastAsia="Times New Roman"/>
          <w:b/>
          <w:bCs/>
          <w:rtl/>
          <w:lang w:eastAsia="fr-FR"/>
        </w:rPr>
        <w:sectPr w:rsidR="00557C39" w:rsidRPr="00841EFF" w:rsidSect="00C57BE2">
          <w:footerReference w:type="first" r:id="rId10"/>
          <w:type w:val="continuous"/>
          <w:pgSz w:w="11906" w:h="16838"/>
          <w:pgMar w:top="1134" w:right="1701" w:bottom="1134" w:left="1134" w:header="709" w:footer="709" w:gutter="0"/>
          <w:cols w:space="708"/>
          <w:bidi/>
          <w:rtlGutter/>
          <w:docGrid w:linePitch="360"/>
        </w:sectPr>
      </w:pPr>
      <w:r>
        <w:rPr>
          <w:noProof/>
          <w:rtl/>
          <w:lang w:val="en-US" w:bidi="ar-SA"/>
        </w:rPr>
        <w:pict>
          <v:shapetype id="_x0000_t202" coordsize="21600,21600" o:spt="202" path="m,l,21600r21600,l21600,xe">
            <v:stroke joinstyle="miter"/>
            <v:path gradientshapeok="t" o:connecttype="rect"/>
          </v:shapetype>
          <v:shape id="مربع نص 10" o:spid="_x0000_s1027" type="#_x0000_t202" style="position:absolute;left:0;text-align:left;margin-left:155.55pt;margin-top:27.1pt;width:129.95pt;height:64.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" filled="f" stroked="f">
            <v:path arrowok="t"/>
            <v:textbox>
              <w:txbxContent>
                <w:p w:rsidR="0012210E" w:rsidRPr="00C4612A" w:rsidRDefault="0012210E" w:rsidP="00557C39">
                  <w:pPr>
                    <w:spacing w:after="0" w:line="240" w:lineRule="auto"/>
                    <w:ind w:firstLine="34"/>
                    <w:jc w:val="center"/>
                    <w:rPr>
                      <w:rFonts w:ascii="Traditional Arabic" w:eastAsia="Times New Roman" w:hAnsi="Traditional Arabic" w:cs="Traditional Arabic"/>
                      <w:b/>
                      <w:bCs/>
                      <w:sz w:val="40"/>
                      <w:szCs w:val="40"/>
                      <w:rtl/>
                    </w:rPr>
                  </w:pPr>
                  <w:r w:rsidRPr="00C4612A">
                    <w:rPr>
                      <w:rFonts w:ascii="Traditional Arabic" w:eastAsia="Times New Roman" w:hAnsi="Traditional Arabic" w:cs="Traditional Arabic" w:hint="cs"/>
                      <w:b/>
                      <w:bCs/>
                      <w:sz w:val="40"/>
                      <w:szCs w:val="40"/>
                      <w:rtl/>
                    </w:rPr>
                    <w:t>السنة الجامعية</w:t>
                  </w:r>
                </w:p>
                <w:p w:rsidR="0012210E" w:rsidRPr="00C4612A" w:rsidRDefault="0012210E" w:rsidP="00557C39">
                  <w:pPr>
                    <w:spacing w:after="0" w:line="240" w:lineRule="auto"/>
                    <w:ind w:firstLine="34"/>
                    <w:jc w:val="center"/>
                    <w:rPr>
                      <w:rFonts w:ascii="Traditional Arabic" w:eastAsia="Times New Roman" w:hAnsi="Traditional Arabic" w:cs="Traditional Arabic"/>
                      <w:b/>
                      <w:bCs/>
                      <w:sz w:val="40"/>
                      <w:szCs w:val="40"/>
                    </w:rPr>
                  </w:pPr>
                  <w:r>
                    <w:rPr>
                      <w:rFonts w:ascii="Traditional Arabic" w:eastAsia="Times New Roman" w:hAnsi="Traditional Arabic" w:cs="Traditional Arabic" w:hint="cs"/>
                      <w:b/>
                      <w:bCs/>
                      <w:sz w:val="40"/>
                      <w:szCs w:val="40"/>
                      <w:rtl/>
                    </w:rPr>
                    <w:t>2015</w:t>
                  </w:r>
                  <w:r w:rsidRPr="00C4612A">
                    <w:rPr>
                      <w:rFonts w:ascii="Traditional Arabic" w:eastAsia="Times New Roman" w:hAnsi="Traditional Arabic" w:cs="Traditional Arabic" w:hint="cs"/>
                      <w:b/>
                      <w:bCs/>
                      <w:sz w:val="40"/>
                      <w:szCs w:val="40"/>
                      <w:rtl/>
                    </w:rPr>
                    <w:t>/</w:t>
                  </w:r>
                  <w:r>
                    <w:rPr>
                      <w:rFonts w:ascii="Traditional Arabic" w:eastAsia="Times New Roman" w:hAnsi="Traditional Arabic" w:cs="Traditional Arabic" w:hint="cs"/>
                      <w:b/>
                      <w:bCs/>
                      <w:sz w:val="40"/>
                      <w:szCs w:val="40"/>
                      <w:rtl/>
                    </w:rPr>
                    <w:t>2016</w:t>
                  </w:r>
                </w:p>
              </w:txbxContent>
            </v:textbox>
          </v:shape>
        </w:pict>
      </w:r>
    </w:p>
    <w:p w:rsidR="00557C39" w:rsidRPr="00841EFF" w:rsidRDefault="00557C39" w:rsidP="008A5D2D">
      <w:pPr>
        <w:bidi w:val="0"/>
        <w:spacing w:line="240" w:lineRule="auto"/>
        <w:ind w:firstLine="566"/>
        <w:rPr>
          <w:rFonts w:eastAsia="Times New Roman"/>
          <w:b/>
          <w:bCs/>
          <w:lang w:eastAsia="fr-FR"/>
        </w:rPr>
      </w:pPr>
    </w:p>
    <w:p w:rsidR="00557C39" w:rsidRPr="00841EFF" w:rsidRDefault="00557C39" w:rsidP="008A5D2D">
      <w:pPr>
        <w:bidi w:val="0"/>
        <w:spacing w:line="240" w:lineRule="auto"/>
        <w:ind w:firstLine="566"/>
        <w:rPr>
          <w:rFonts w:ascii="Traditional Arabic" w:eastAsia="Times New Roman" w:hAnsi="Traditional Arabic" w:cs="Traditional Arabic"/>
          <w:b/>
          <w:bCs/>
          <w:lang w:eastAsia="fr-FR"/>
        </w:rPr>
      </w:pPr>
      <w:r w:rsidRPr="00841EFF">
        <w:rPr>
          <w:rFonts w:ascii="Traditional Arabic" w:eastAsia="Times New Roman" w:hAnsi="Traditional Arabic" w:cs="Traditional Arabic"/>
          <w:b/>
          <w:bCs/>
          <w:lang w:eastAsia="fr-FR"/>
        </w:rPr>
        <w:br w:type="page"/>
      </w: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lang w:eastAsia="fr-FR"/>
        </w:rPr>
      </w:pPr>
    </w:p>
    <w:p w:rsidR="00557C39" w:rsidRPr="00841EFF" w:rsidRDefault="00557C39" w:rsidP="008A5D2D">
      <w:pPr>
        <w:bidi w:val="0"/>
        <w:ind w:firstLine="566"/>
        <w:rPr>
          <w:rFonts w:ascii="Traditional Arabic" w:eastAsia="Times New Roman" w:hAnsi="Traditional Arabic" w:cs="Traditional Arabic"/>
          <w:b/>
          <w:bCs/>
          <w:rtl/>
          <w:lang w:eastAsia="fr-FR"/>
        </w:rPr>
      </w:pPr>
    </w:p>
    <w:p w:rsidR="00557C39" w:rsidRPr="00841EFF" w:rsidRDefault="00557C39" w:rsidP="008A5D2D">
      <w:pPr>
        <w:spacing w:after="0" w:line="360" w:lineRule="auto"/>
        <w:ind w:firstLine="566"/>
        <w:rPr>
          <w:rFonts w:ascii="Traditional Arabic" w:eastAsia="Times New Roman" w:hAnsi="Traditional Arabic" w:cs="Traditional Arabic"/>
          <w:b/>
          <w:bCs/>
          <w:rtl/>
          <w:lang w:eastAsia="fr-FR"/>
        </w:rPr>
      </w:pPr>
    </w:p>
    <w:p w:rsidR="00557C39" w:rsidRPr="00841EFF" w:rsidRDefault="00557C39" w:rsidP="008A5D2D">
      <w:pPr>
        <w:spacing w:after="0" w:line="360" w:lineRule="auto"/>
        <w:ind w:firstLine="566"/>
        <w:rPr>
          <w:rFonts w:ascii="Traditional Arabic" w:eastAsia="Times New Roman" w:hAnsi="Traditional Arabic" w:cs="Traditional Arabic"/>
          <w:b/>
          <w:bCs/>
          <w:rtl/>
          <w:lang w:eastAsia="fr-FR"/>
        </w:rPr>
      </w:pPr>
    </w:p>
    <w:p w:rsidR="00557C39" w:rsidRPr="00841EFF" w:rsidRDefault="00557C39" w:rsidP="008A5D2D">
      <w:pPr>
        <w:spacing w:after="0" w:line="360" w:lineRule="auto"/>
        <w:ind w:firstLine="566"/>
        <w:rPr>
          <w:rFonts w:ascii="Traditional Arabic" w:eastAsia="Times New Roman" w:hAnsi="Traditional Arabic" w:cs="Traditional Arabic"/>
          <w:b/>
          <w:bCs/>
          <w:rtl/>
          <w:lang w:eastAsia="fr-FR"/>
        </w:rPr>
      </w:pPr>
    </w:p>
    <w:p w:rsidR="00557C39" w:rsidRPr="00841EFF" w:rsidRDefault="00557C39" w:rsidP="008A5D2D">
      <w:pPr>
        <w:spacing w:after="0"/>
        <w:ind w:firstLine="566"/>
        <w:jc w:val="both"/>
        <w:rPr>
          <w:rFonts w:ascii="Traditional Arabic" w:hAnsi="Traditional Arabic" w:cs="Traditional Arabic"/>
          <w:b/>
          <w:bCs/>
          <w:rtl/>
        </w:rPr>
      </w:pPr>
      <w:r w:rsidRPr="00841EFF">
        <w:rPr>
          <w:rFonts w:ascii="Traditional Arabic" w:hAnsi="Traditional Arabic" w:cs="Traditional Arabic"/>
          <w:b/>
          <w:bCs/>
          <w:noProof/>
          <w:rtl/>
          <w:lang w:eastAsia="fr-FR" w:bidi="ar-SA"/>
        </w:rPr>
        <w:drawing>
          <wp:anchor distT="0" distB="0" distL="114300" distR="114300" simplePos="0" relativeHeight="251663360" behindDoc="0" locked="0" layoutInCell="1" allowOverlap="1">
            <wp:simplePos x="0" y="0"/>
            <wp:positionH relativeFrom="margin">
              <wp:align>center</wp:align>
            </wp:positionH>
            <wp:positionV relativeFrom="margin">
              <wp:align>top</wp:align>
            </wp:positionV>
            <wp:extent cx="5150972" cy="7588332"/>
            <wp:effectExtent l="0" t="0" r="0" b="0"/>
            <wp:wrapNone/>
            <wp:docPr id="18" name="صورة 18" descr="C:\Users\ALGDragon\Downloads\besm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LGDragon\Downloads\besm9.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50972" cy="7588332"/>
                    </a:xfrm>
                    <a:prstGeom prst="rect">
                      <a:avLst/>
                    </a:prstGeom>
                    <a:noFill/>
                    <a:ln>
                      <a:noFill/>
                    </a:ln>
                  </pic:spPr>
                </pic:pic>
              </a:graphicData>
            </a:graphic>
          </wp:anchor>
        </w:drawing>
      </w:r>
    </w:p>
    <w:p w:rsidR="00C44C3E" w:rsidRDefault="00C44C3E"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Default="00CB1ACF" w:rsidP="008A5D2D">
      <w:pPr>
        <w:rPr>
          <w:rtl/>
        </w:rPr>
      </w:pPr>
    </w:p>
    <w:p w:rsidR="00CB1ACF" w:rsidRPr="00655AE7" w:rsidRDefault="00BB7C56" w:rsidP="008A5D2D">
      <w:pPr>
        <w:jc w:val="center"/>
        <w:rPr>
          <w:rFonts w:ascii="ae_Metal" w:hAnsi="ae_Metal" w:cs="ae_Metal"/>
          <w:b/>
          <w:bCs/>
          <w:sz w:val="48"/>
          <w:szCs w:val="48"/>
          <w:rtl/>
        </w:rPr>
      </w:pPr>
      <w:r>
        <w:rPr>
          <w:rFonts w:asciiTheme="minorHAnsi" w:hAnsiTheme="minorHAnsi" w:cstheme="minorBidi"/>
          <w:noProof/>
          <w:sz w:val="22"/>
          <w:szCs w:val="22"/>
          <w:rtl/>
          <w:lang w:val="en-US" w:bidi="ar-SA"/>
        </w:rPr>
      </w:r>
      <w:r w:rsidR="000C1635">
        <w:rPr>
          <w:rFonts w:asciiTheme="minorHAnsi" w:hAnsiTheme="minorHAnsi" w:cstheme="minorBidi"/>
          <w:noProof/>
          <w:sz w:val="22"/>
          <w:szCs w:val="22"/>
          <w:lang w:val="en-US" w:bidi="ar-SA"/>
        </w:rPr>
        <w:pict>
          <v:shape id="مربع نص 1" o:spid="_x0000_s1038" type="#_x0000_t202" style="width:144.75pt;height:70.5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" filled="f" stroked="f">
            <o:lock v:ext="edit" shapetype="t"/>
            <v:textbox style="mso-fit-shape-to-text:t">
              <w:txbxContent>
                <w:p w:rsidR="0012210E" w:rsidRDefault="0012210E" w:rsidP="008A5D2D">
                  <w:pPr>
                    <w:pStyle w:val="NormalWeb"/>
                    <w:bidi/>
                    <w:spacing w:before="0" w:beforeAutospacing="0" w:after="0" w:afterAutospacing="0"/>
                    <w:jc w:val="center"/>
                    <w:outlineLvl w:val="0"/>
                  </w:pPr>
                  <w:bookmarkStart w:id="1" w:name="_Toc461013570"/>
                  <w:r>
                    <w:rPr>
                      <w:rFonts w:ascii="Simplified Arabic" w:hAnsi="Simplified Arabic" w:cs="Simplified Arabic" w:hint="cs"/>
                      <w:b/>
                      <w:bCs/>
                      <w:color w:val="000000"/>
                      <w:sz w:val="56"/>
                      <w:szCs w:val="56"/>
                      <w:rtl/>
                      <w:lang w:bidi="ar-DZ"/>
                    </w:rPr>
                    <w:t>شكر وتقدير</w:t>
                  </w:r>
                  <w:bookmarkEnd w:id="1"/>
                </w:p>
              </w:txbxContent>
            </v:textbox>
            <w10:wrap type="none" anchorx="page"/>
            <w10:anchorlock/>
          </v:shape>
        </w:pict>
      </w:r>
    </w:p>
    <w:p w:rsidR="00CB1ACF" w:rsidRDefault="00CB1ACF" w:rsidP="008A5D2D">
      <w:pPr>
        <w:jc w:val="center"/>
        <w:rPr>
          <w:rFonts w:cs="Thulth"/>
          <w:b/>
          <w:bCs/>
          <w:sz w:val="48"/>
          <w:szCs w:val="48"/>
          <w:rtl/>
        </w:rPr>
      </w:pPr>
      <w:r w:rsidRPr="00655AE7">
        <w:rPr>
          <w:rFonts w:cs="Thulth" w:hint="cs"/>
          <w:b/>
          <w:bCs/>
          <w:sz w:val="48"/>
          <w:szCs w:val="48"/>
        </w:rPr>
        <w:sym w:font="AGA Arabesque" w:char="F029"/>
      </w:r>
      <w:r w:rsidRPr="00655AE7">
        <w:rPr>
          <w:rFonts w:cs="Thulth" w:hint="cs"/>
          <w:b/>
          <w:bCs/>
          <w:sz w:val="48"/>
          <w:szCs w:val="48"/>
          <w:rtl/>
        </w:rPr>
        <w:t>ولئن شكرتم لأزيدنكم</w:t>
      </w:r>
      <w:r w:rsidRPr="00655AE7">
        <w:rPr>
          <w:rFonts w:cs="Thulth" w:hint="cs"/>
          <w:b/>
          <w:bCs/>
          <w:sz w:val="48"/>
          <w:szCs w:val="48"/>
        </w:rPr>
        <w:sym w:font="AGA Arabesque" w:char="F028"/>
      </w:r>
    </w:p>
    <w:p w:rsidR="00CB1ACF" w:rsidRPr="00655AE7" w:rsidRDefault="00CB1ACF" w:rsidP="008A5D2D">
      <w:pPr>
        <w:jc w:val="center"/>
        <w:rPr>
          <w:rFonts w:cs="Thulth"/>
          <w:b/>
          <w:bCs/>
          <w:sz w:val="48"/>
          <w:szCs w:val="48"/>
          <w:rtl/>
        </w:rPr>
      </w:pPr>
    </w:p>
    <w:p w:rsidR="00CB1ACF" w:rsidRPr="00250DEB" w:rsidRDefault="00CB1ACF" w:rsidP="008A5D2D">
      <w:pPr>
        <w:jc w:val="center"/>
        <w:rPr>
          <w:sz w:val="40"/>
          <w:szCs w:val="40"/>
          <w:rtl/>
        </w:rPr>
      </w:pPr>
      <w:r w:rsidRPr="00250DEB">
        <w:rPr>
          <w:sz w:val="40"/>
          <w:szCs w:val="40"/>
          <w:rtl/>
        </w:rPr>
        <w:t xml:space="preserve">نحمد الله عز وجل حمدا كثيرا طيبا مباركا فيه على توفيقه لإتمام البحث راجين منه </w:t>
      </w:r>
      <w:proofErr w:type="spellStart"/>
      <w:r w:rsidRPr="00250DEB">
        <w:rPr>
          <w:sz w:val="40"/>
          <w:szCs w:val="40"/>
          <w:rtl/>
        </w:rPr>
        <w:t>عزوجل</w:t>
      </w:r>
      <w:proofErr w:type="spellEnd"/>
      <w:r w:rsidRPr="00250DEB">
        <w:rPr>
          <w:sz w:val="40"/>
          <w:szCs w:val="40"/>
          <w:rtl/>
        </w:rPr>
        <w:t xml:space="preserve"> التوفيق والسداد.</w:t>
      </w:r>
    </w:p>
    <w:p w:rsidR="00CB1ACF" w:rsidRPr="00250DEB" w:rsidRDefault="00CB1ACF" w:rsidP="008A5D2D">
      <w:pPr>
        <w:jc w:val="center"/>
        <w:rPr>
          <w:sz w:val="40"/>
          <w:szCs w:val="40"/>
          <w:rtl/>
        </w:rPr>
      </w:pPr>
      <w:r w:rsidRPr="00250DEB">
        <w:rPr>
          <w:sz w:val="40"/>
          <w:szCs w:val="40"/>
          <w:rtl/>
        </w:rPr>
        <w:t>أتقدم بالشكر الخالص للأستاذ المشرف "</w:t>
      </w:r>
      <w:r>
        <w:rPr>
          <w:rFonts w:hint="cs"/>
          <w:b/>
          <w:bCs/>
          <w:sz w:val="40"/>
          <w:szCs w:val="40"/>
          <w:rtl/>
        </w:rPr>
        <w:t>حمادي عبد الفتاح</w:t>
      </w:r>
      <w:r w:rsidRPr="00250DEB">
        <w:rPr>
          <w:b/>
          <w:bCs/>
          <w:sz w:val="40"/>
          <w:szCs w:val="40"/>
          <w:rtl/>
        </w:rPr>
        <w:t>"</w:t>
      </w:r>
      <w:r w:rsidRPr="00250DEB">
        <w:rPr>
          <w:sz w:val="40"/>
          <w:szCs w:val="40"/>
          <w:rtl/>
        </w:rPr>
        <w:t xml:space="preserve"> ال</w:t>
      </w:r>
      <w:r>
        <w:rPr>
          <w:rFonts w:hint="cs"/>
          <w:sz w:val="40"/>
          <w:szCs w:val="40"/>
          <w:rtl/>
        </w:rPr>
        <w:t>ذي</w:t>
      </w:r>
      <w:r w:rsidRPr="00250DEB">
        <w:rPr>
          <w:sz w:val="40"/>
          <w:szCs w:val="40"/>
          <w:rtl/>
        </w:rPr>
        <w:t xml:space="preserve"> لم </w:t>
      </w:r>
      <w:r>
        <w:rPr>
          <w:rFonts w:hint="cs"/>
          <w:sz w:val="40"/>
          <w:szCs w:val="40"/>
          <w:rtl/>
        </w:rPr>
        <w:t>ي</w:t>
      </w:r>
      <w:r w:rsidRPr="00250DEB">
        <w:rPr>
          <w:sz w:val="40"/>
          <w:szCs w:val="40"/>
          <w:rtl/>
        </w:rPr>
        <w:t>بخل عليّ بنصائحه وتوجيهاته القيمة في الدراسة، كما أشكره على جديته ودقته في العمل، وأتمنى له التوفيق والنجاح.</w:t>
      </w:r>
    </w:p>
    <w:p w:rsidR="00CB1ACF" w:rsidRPr="00250DEB" w:rsidRDefault="00CB1ACF" w:rsidP="008A5D2D">
      <w:pPr>
        <w:jc w:val="center"/>
        <w:rPr>
          <w:sz w:val="40"/>
          <w:szCs w:val="40"/>
          <w:rtl/>
        </w:rPr>
      </w:pPr>
      <w:r w:rsidRPr="00250DEB">
        <w:rPr>
          <w:sz w:val="40"/>
          <w:szCs w:val="40"/>
          <w:rtl/>
        </w:rPr>
        <w:t>كما أتقدم بالشكر الجزيل إلى من ساعدني في انجاز هذا العمل من قريب أو بعيد ولو بكلمة أو دعاء.</w:t>
      </w:r>
    </w:p>
    <w:p w:rsidR="00CB1ACF" w:rsidRPr="00250DEB" w:rsidRDefault="00CB1ACF" w:rsidP="008A5D2D">
      <w:pPr>
        <w:jc w:val="center"/>
        <w:rPr>
          <w:sz w:val="40"/>
          <w:szCs w:val="40"/>
          <w:rtl/>
        </w:rPr>
      </w:pPr>
      <w:r w:rsidRPr="00250DEB">
        <w:rPr>
          <w:sz w:val="40"/>
          <w:szCs w:val="40"/>
          <w:rtl/>
        </w:rPr>
        <w:t xml:space="preserve">وفي الأخير أتمنى من الله </w:t>
      </w:r>
      <w:proofErr w:type="spellStart"/>
      <w:r w:rsidRPr="00250DEB">
        <w:rPr>
          <w:sz w:val="40"/>
          <w:szCs w:val="40"/>
          <w:rtl/>
        </w:rPr>
        <w:t>عزوجل</w:t>
      </w:r>
      <w:proofErr w:type="spellEnd"/>
      <w:r w:rsidRPr="00250DEB">
        <w:rPr>
          <w:sz w:val="40"/>
          <w:szCs w:val="40"/>
          <w:rtl/>
        </w:rPr>
        <w:t xml:space="preserve"> أن يرشدنا إلى سواء السبيل ويحقق هدفنا النبيل، فإن أصبنا فمن الله وحده وإن أخطأنا فمن أنفسنا ومن الشيطان</w:t>
      </w:r>
      <w:r>
        <w:rPr>
          <w:rFonts w:hint="cs"/>
          <w:sz w:val="40"/>
          <w:szCs w:val="40"/>
          <w:rtl/>
        </w:rPr>
        <w:t>.</w:t>
      </w:r>
    </w:p>
    <w:p w:rsidR="00CB1ACF" w:rsidRDefault="00CB1ACF" w:rsidP="008A5D2D">
      <w:pPr>
        <w:jc w:val="center"/>
        <w:rPr>
          <w:rFonts w:ascii="Hacen Casablanca Light" w:hAnsi="Hacen Casablanca Light" w:cs="Medina Lt BT"/>
          <w:sz w:val="40"/>
          <w:szCs w:val="40"/>
          <w:rtl/>
        </w:rPr>
      </w:pPr>
    </w:p>
    <w:p w:rsidR="00CB1ACF" w:rsidRDefault="00CB1ACF" w:rsidP="008A5D2D">
      <w:pPr>
        <w:jc w:val="center"/>
        <w:rPr>
          <w:rFonts w:ascii="Hacen Casablanca Light" w:hAnsi="Hacen Casablanca Light" w:cs="Medina Lt BT"/>
          <w:sz w:val="40"/>
          <w:szCs w:val="40"/>
          <w:rtl/>
        </w:rPr>
      </w:pPr>
    </w:p>
    <w:p w:rsidR="00CB1ACF" w:rsidRDefault="00CB1ACF" w:rsidP="008A5D2D">
      <w:pPr>
        <w:jc w:val="center"/>
        <w:rPr>
          <w:rFonts w:ascii="Hacen Casablanca Light" w:hAnsi="Hacen Casablanca Light" w:cs="Medina Lt BT"/>
          <w:sz w:val="40"/>
          <w:szCs w:val="40"/>
          <w:rtl/>
        </w:rPr>
      </w:pPr>
    </w:p>
    <w:p w:rsidR="00CB1ACF" w:rsidRDefault="00CB1ACF" w:rsidP="008A5D2D">
      <w:pPr>
        <w:jc w:val="center"/>
        <w:rPr>
          <w:rFonts w:ascii="Hacen Vanilla" w:hAnsi="Hacen Vanilla" w:cs="Hacen Vanilla"/>
          <w:sz w:val="40"/>
          <w:szCs w:val="40"/>
          <w:rtl/>
          <w:lang w:val="en-US"/>
        </w:rPr>
      </w:pPr>
    </w:p>
    <w:p w:rsidR="00CB1ACF" w:rsidRDefault="00CB1ACF" w:rsidP="008A5D2D">
      <w:pPr>
        <w:jc w:val="right"/>
        <w:rPr>
          <w:rFonts w:ascii="Hacen Vanilla" w:hAnsi="Hacen Vanilla" w:cs="Hacen Vanilla"/>
          <w:sz w:val="40"/>
          <w:szCs w:val="40"/>
          <w:lang w:val="en-US"/>
        </w:rPr>
      </w:pPr>
      <w:r w:rsidRPr="00CB1ACF">
        <w:rPr>
          <w:rFonts w:ascii="Hacen Vanilla" w:hAnsi="Hacen Vanilla" w:cs="Hacen Vanilla" w:hint="cs"/>
          <w:sz w:val="40"/>
          <w:szCs w:val="40"/>
          <w:rtl/>
          <w:lang w:val="en-US"/>
        </w:rPr>
        <w:t>رقيق بدر الدين</w:t>
      </w:r>
    </w:p>
    <w:p w:rsidR="0012210E" w:rsidRPr="00CB1ACF" w:rsidRDefault="0012210E" w:rsidP="008A5D2D">
      <w:pPr>
        <w:jc w:val="right"/>
        <w:rPr>
          <w:rFonts w:ascii="Hacen Vanilla" w:hAnsi="Hacen Vanilla" w:cs="Hacen Vanilla"/>
          <w:sz w:val="40"/>
          <w:szCs w:val="40"/>
          <w:rtl/>
          <w:lang w:val="en-US"/>
        </w:rPr>
      </w:pPr>
    </w:p>
    <w:p w:rsidR="00CB1ACF" w:rsidRDefault="00BB7C56" w:rsidP="008A5D2D">
      <w:pPr>
        <w:jc w:val="center"/>
      </w:pPr>
      <w:r>
        <w:rPr>
          <w:noProof/>
          <w:lang w:val="en-US" w:bidi="ar-SA"/>
        </w:rPr>
        <w:pict>
          <v:shape id="مربع نص 2" o:spid="_x0000_s1029" type="#_x0000_t202" style="position:absolute;left:0;text-align:left;margin-left:126.3pt;margin-top:.3pt;width:186.75pt;height:63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" filled="f" stroked="f">
            <o:lock v:ext="edit" shapetype="t"/>
            <v:textbox>
              <w:txbxContent>
                <w:p w:rsidR="0012210E" w:rsidRPr="00CB1ACF" w:rsidRDefault="0012210E" w:rsidP="008A5D2D">
                  <w:pPr>
                    <w:pStyle w:val="NormalWeb"/>
                    <w:bidi/>
                    <w:spacing w:before="0" w:beforeAutospacing="0" w:after="0" w:afterAutospacing="0"/>
                    <w:jc w:val="center"/>
                    <w:outlineLvl w:val="0"/>
                    <w:rPr>
                      <w:sz w:val="56"/>
                      <w:szCs w:val="56"/>
                      <w:lang w:bidi="ar-DZ"/>
                    </w:rPr>
                  </w:pPr>
                  <w:bookmarkStart w:id="2" w:name="_Toc461013571"/>
                  <w:r w:rsidRPr="00CB1ACF">
                    <w:rPr>
                      <w:rFonts w:ascii="Simplified Arabic" w:hAnsi="Simplified Arabic" w:cs="Simplified Arabic"/>
                      <w:b/>
                      <w:bCs/>
                      <w:color w:val="000000"/>
                      <w:sz w:val="56"/>
                      <w:szCs w:val="56"/>
                      <w:rtl/>
                    </w:rPr>
                    <w:t>الاهداء</w:t>
                  </w:r>
                  <w:bookmarkEnd w:id="2"/>
                </w:p>
              </w:txbxContent>
            </v:textbox>
          </v:shape>
        </w:pict>
      </w:r>
    </w:p>
    <w:p w:rsidR="00CB1ACF" w:rsidRDefault="00CB1ACF" w:rsidP="008A5D2D"/>
    <w:p w:rsidR="00CB1ACF" w:rsidRDefault="00CB1ACF" w:rsidP="008A5D2D">
      <w:pPr>
        <w:tabs>
          <w:tab w:val="left" w:pos="5054"/>
        </w:tabs>
        <w:jc w:val="center"/>
        <w:rPr>
          <w:b/>
          <w:bCs/>
          <w:sz w:val="28"/>
          <w:szCs w:val="28"/>
          <w:rtl/>
        </w:rPr>
      </w:pPr>
    </w:p>
    <w:p w:rsidR="00CB1ACF" w:rsidRPr="00CB1ACF" w:rsidRDefault="00CB1ACF" w:rsidP="008A5D2D">
      <w:pPr>
        <w:spacing w:after="0" w:line="240" w:lineRule="auto"/>
        <w:jc w:val="center"/>
        <w:rPr>
          <w:sz w:val="40"/>
          <w:szCs w:val="40"/>
          <w:rtl/>
        </w:rPr>
      </w:pPr>
      <w:r w:rsidRPr="00CB1ACF">
        <w:rPr>
          <w:rFonts w:hint="cs"/>
          <w:sz w:val="40"/>
          <w:szCs w:val="40"/>
          <w:rtl/>
        </w:rPr>
        <w:t>أهدي هذا العمل إلى</w:t>
      </w:r>
    </w:p>
    <w:p w:rsidR="00CB1ACF" w:rsidRPr="00CB1ACF" w:rsidRDefault="00CB1ACF" w:rsidP="008A5D2D">
      <w:pPr>
        <w:spacing w:after="0" w:line="240" w:lineRule="auto"/>
        <w:jc w:val="center"/>
        <w:rPr>
          <w:sz w:val="40"/>
          <w:szCs w:val="40"/>
          <w:rtl/>
        </w:rPr>
      </w:pPr>
      <w:r w:rsidRPr="00CB1ACF">
        <w:rPr>
          <w:rFonts w:hint="cs"/>
          <w:sz w:val="40"/>
          <w:szCs w:val="40"/>
          <w:rtl/>
        </w:rPr>
        <w:t>إلى من جرع الكأس فارغا ليسقيني قطرة حب</w:t>
      </w:r>
    </w:p>
    <w:p w:rsidR="00CB1ACF" w:rsidRPr="00CB1ACF" w:rsidRDefault="00CB1ACF" w:rsidP="008A5D2D">
      <w:pPr>
        <w:spacing w:after="0" w:line="240" w:lineRule="auto"/>
        <w:jc w:val="center"/>
        <w:rPr>
          <w:sz w:val="40"/>
          <w:szCs w:val="40"/>
          <w:rtl/>
        </w:rPr>
      </w:pPr>
      <w:r w:rsidRPr="00CB1ACF">
        <w:rPr>
          <w:rFonts w:hint="cs"/>
          <w:sz w:val="40"/>
          <w:szCs w:val="40"/>
          <w:rtl/>
        </w:rPr>
        <w:t>إلى من كلت أنامله ليقدم لنا لحظة سعادة</w:t>
      </w:r>
    </w:p>
    <w:p w:rsidR="00CB1ACF" w:rsidRPr="00CB1ACF" w:rsidRDefault="00CB1ACF" w:rsidP="008A5D2D">
      <w:pPr>
        <w:spacing w:after="0" w:line="240" w:lineRule="auto"/>
        <w:jc w:val="center"/>
        <w:rPr>
          <w:sz w:val="40"/>
          <w:szCs w:val="40"/>
          <w:rtl/>
        </w:rPr>
      </w:pPr>
      <w:r w:rsidRPr="00CB1ACF">
        <w:rPr>
          <w:rFonts w:hint="cs"/>
          <w:sz w:val="40"/>
          <w:szCs w:val="40"/>
          <w:rtl/>
        </w:rPr>
        <w:t xml:space="preserve">إلى من حصد الأشواك عن دربي ليمهد لي طريق العلم </w:t>
      </w:r>
    </w:p>
    <w:p w:rsidR="00CB1ACF" w:rsidRPr="00CB1ACF" w:rsidRDefault="00CB1ACF" w:rsidP="008A5D2D">
      <w:pPr>
        <w:spacing w:after="0" w:line="240" w:lineRule="auto"/>
        <w:jc w:val="center"/>
        <w:rPr>
          <w:sz w:val="40"/>
          <w:szCs w:val="40"/>
          <w:rtl/>
        </w:rPr>
      </w:pPr>
      <w:r w:rsidRPr="00CB1ACF">
        <w:rPr>
          <w:rFonts w:hint="cs"/>
          <w:sz w:val="40"/>
          <w:szCs w:val="40"/>
          <w:rtl/>
        </w:rPr>
        <w:t>إلى القلب الكبير والدي العزيز</w:t>
      </w:r>
    </w:p>
    <w:p w:rsidR="00CB1ACF" w:rsidRPr="00CB1ACF" w:rsidRDefault="00CB1ACF" w:rsidP="008A5D2D">
      <w:pPr>
        <w:spacing w:after="0" w:line="240" w:lineRule="auto"/>
        <w:jc w:val="center"/>
        <w:rPr>
          <w:sz w:val="40"/>
          <w:szCs w:val="40"/>
          <w:rtl/>
        </w:rPr>
      </w:pPr>
      <w:r w:rsidRPr="00CB1ACF">
        <w:rPr>
          <w:rFonts w:hint="cs"/>
          <w:sz w:val="40"/>
          <w:szCs w:val="40"/>
          <w:rtl/>
        </w:rPr>
        <w:t>إلى من أرضعتني الحب والحنان</w:t>
      </w:r>
    </w:p>
    <w:p w:rsidR="00CB1ACF" w:rsidRPr="00CB1ACF" w:rsidRDefault="00CB1ACF" w:rsidP="008A5D2D">
      <w:pPr>
        <w:spacing w:after="0" w:line="240" w:lineRule="auto"/>
        <w:jc w:val="center"/>
        <w:rPr>
          <w:sz w:val="40"/>
          <w:szCs w:val="40"/>
          <w:rtl/>
        </w:rPr>
      </w:pPr>
      <w:r w:rsidRPr="00CB1ACF">
        <w:rPr>
          <w:rFonts w:hint="cs"/>
          <w:sz w:val="40"/>
          <w:szCs w:val="40"/>
          <w:rtl/>
        </w:rPr>
        <w:t>إلى رمز الحب وبلسم الشفاء</w:t>
      </w:r>
    </w:p>
    <w:p w:rsidR="00CB1ACF" w:rsidRPr="00CB1ACF" w:rsidRDefault="00CB1ACF" w:rsidP="008A5D2D">
      <w:pPr>
        <w:spacing w:after="0" w:line="240" w:lineRule="auto"/>
        <w:jc w:val="center"/>
        <w:rPr>
          <w:sz w:val="40"/>
          <w:szCs w:val="40"/>
          <w:rtl/>
        </w:rPr>
      </w:pPr>
      <w:r w:rsidRPr="00CB1ACF">
        <w:rPr>
          <w:rFonts w:hint="cs"/>
          <w:sz w:val="40"/>
          <w:szCs w:val="40"/>
          <w:rtl/>
        </w:rPr>
        <w:t>إلى القلب الناصع بالبياض والدتي الحبيبة</w:t>
      </w:r>
    </w:p>
    <w:p w:rsidR="00CB1ACF" w:rsidRPr="00CB1ACF" w:rsidRDefault="00CB1ACF" w:rsidP="008A5D2D">
      <w:pPr>
        <w:spacing w:after="0" w:line="240" w:lineRule="auto"/>
        <w:jc w:val="center"/>
        <w:rPr>
          <w:sz w:val="40"/>
          <w:szCs w:val="40"/>
          <w:rtl/>
        </w:rPr>
      </w:pPr>
      <w:r w:rsidRPr="00CB1ACF">
        <w:rPr>
          <w:rFonts w:hint="cs"/>
          <w:sz w:val="40"/>
          <w:szCs w:val="40"/>
          <w:rtl/>
        </w:rPr>
        <w:t>إلى القلوب الطاهرة الرقيقة والنفوس البريئة إلى رياحين حياتي إخوتي</w:t>
      </w:r>
    </w:p>
    <w:p w:rsidR="00CB1ACF" w:rsidRPr="00CB1ACF" w:rsidRDefault="00CB1ACF" w:rsidP="008A5D2D">
      <w:pPr>
        <w:spacing w:after="0" w:line="240" w:lineRule="auto"/>
        <w:jc w:val="center"/>
        <w:rPr>
          <w:sz w:val="40"/>
          <w:szCs w:val="40"/>
          <w:rtl/>
        </w:rPr>
      </w:pPr>
      <w:r w:rsidRPr="00CB1ACF">
        <w:rPr>
          <w:rFonts w:hint="cs"/>
          <w:sz w:val="40"/>
          <w:szCs w:val="40"/>
          <w:rtl/>
        </w:rPr>
        <w:t xml:space="preserve">إلى من كانوا سندي وقوتي وملاذي وملجئي </w:t>
      </w:r>
    </w:p>
    <w:p w:rsidR="00CB1ACF" w:rsidRPr="00CB1ACF" w:rsidRDefault="00CB1ACF" w:rsidP="008A5D2D">
      <w:pPr>
        <w:spacing w:after="0" w:line="240" w:lineRule="auto"/>
        <w:jc w:val="center"/>
        <w:rPr>
          <w:sz w:val="40"/>
          <w:szCs w:val="40"/>
          <w:rtl/>
        </w:rPr>
      </w:pPr>
      <w:r w:rsidRPr="00CB1ACF">
        <w:rPr>
          <w:rFonts w:hint="cs"/>
          <w:sz w:val="40"/>
          <w:szCs w:val="40"/>
          <w:rtl/>
        </w:rPr>
        <w:t>إلى من تذوقت معهم أجمل اللحظات</w:t>
      </w:r>
    </w:p>
    <w:p w:rsidR="00CB1ACF" w:rsidRPr="00CB1ACF" w:rsidRDefault="00CB1ACF" w:rsidP="008A5D2D">
      <w:pPr>
        <w:spacing w:after="0" w:line="240" w:lineRule="auto"/>
        <w:jc w:val="center"/>
        <w:rPr>
          <w:sz w:val="40"/>
          <w:szCs w:val="40"/>
          <w:rtl/>
        </w:rPr>
      </w:pPr>
      <w:r w:rsidRPr="00CB1ACF">
        <w:rPr>
          <w:rFonts w:hint="cs"/>
          <w:sz w:val="40"/>
          <w:szCs w:val="40"/>
          <w:rtl/>
        </w:rPr>
        <w:t>إلى من جعلهم الله إخوتي بالله ومن أحببتهم بالله زملائي وأصدقائي المخلصين</w:t>
      </w:r>
    </w:p>
    <w:p w:rsidR="00CB1ACF" w:rsidRPr="00CB1ACF" w:rsidRDefault="00CB1ACF" w:rsidP="008A5D2D">
      <w:pPr>
        <w:spacing w:after="0" w:line="240" w:lineRule="auto"/>
        <w:jc w:val="center"/>
        <w:rPr>
          <w:sz w:val="40"/>
          <w:szCs w:val="40"/>
          <w:rtl/>
        </w:rPr>
      </w:pPr>
    </w:p>
    <w:p w:rsidR="00CB1ACF" w:rsidRPr="00CB1ACF" w:rsidRDefault="00CB1ACF" w:rsidP="008A5D2D">
      <w:pPr>
        <w:spacing w:after="0" w:line="240" w:lineRule="auto"/>
        <w:jc w:val="center"/>
        <w:rPr>
          <w:sz w:val="40"/>
          <w:szCs w:val="40"/>
          <w:rtl/>
        </w:rPr>
      </w:pPr>
    </w:p>
    <w:p w:rsidR="00CB1ACF" w:rsidRPr="00CB1ACF" w:rsidRDefault="00CB1ACF" w:rsidP="008A5D2D">
      <w:pPr>
        <w:spacing w:after="0" w:line="240" w:lineRule="auto"/>
        <w:jc w:val="center"/>
        <w:rPr>
          <w:sz w:val="40"/>
          <w:szCs w:val="40"/>
          <w:rtl/>
        </w:rPr>
      </w:pPr>
    </w:p>
    <w:p w:rsidR="00CB1ACF" w:rsidRDefault="00CB1ACF" w:rsidP="008A5D2D">
      <w:pPr>
        <w:jc w:val="right"/>
        <w:rPr>
          <w:rFonts w:ascii="Hacen Vanilla" w:hAnsi="Hacen Vanilla" w:cs="Hacen Vanilla"/>
          <w:sz w:val="40"/>
          <w:szCs w:val="40"/>
          <w:rtl/>
          <w:lang w:val="en-US"/>
        </w:rPr>
      </w:pPr>
      <w:r w:rsidRPr="00CB1ACF">
        <w:rPr>
          <w:rFonts w:ascii="Hacen Vanilla" w:hAnsi="Hacen Vanilla" w:cs="Hacen Vanilla" w:hint="cs"/>
          <w:sz w:val="40"/>
          <w:szCs w:val="40"/>
          <w:rtl/>
          <w:lang w:val="en-US"/>
        </w:rPr>
        <w:t>رقيق بدر الدين</w:t>
      </w:r>
    </w:p>
    <w:p w:rsidR="000F23EA" w:rsidRDefault="000F23EA" w:rsidP="008A5D2D">
      <w:pPr>
        <w:jc w:val="right"/>
        <w:rPr>
          <w:rFonts w:ascii="Hacen Vanilla" w:hAnsi="Hacen Vanilla" w:cs="Hacen Vanilla"/>
          <w:sz w:val="40"/>
          <w:szCs w:val="40"/>
          <w:rtl/>
          <w:lang w:val="en-US"/>
        </w:rPr>
        <w:sectPr w:rsidR="000F23EA" w:rsidSect="00557C39">
          <w:type w:val="continuous"/>
          <w:pgSz w:w="11906" w:h="16838"/>
          <w:pgMar w:top="1134" w:right="1701" w:bottom="1134" w:left="1134" w:header="709" w:footer="709" w:gutter="0"/>
          <w:cols w:space="708"/>
          <w:bidi/>
          <w:rtlGutter/>
          <w:docGrid w:linePitch="435"/>
        </w:sectPr>
      </w:pPr>
    </w:p>
    <w:p w:rsidR="000F23EA" w:rsidRDefault="000F23EA" w:rsidP="000F23EA">
      <w:pPr>
        <w:spacing w:after="0"/>
        <w:jc w:val="both"/>
        <w:rPr>
          <w:b/>
          <w:bCs/>
          <w:rtl/>
        </w:rPr>
      </w:pPr>
      <w:r>
        <w:rPr>
          <w:rFonts w:ascii="Hacen Vanilla" w:hAnsi="Hacen Vanilla" w:cs="Hacen Vanilla"/>
          <w:sz w:val="40"/>
          <w:szCs w:val="40"/>
          <w:rtl/>
          <w:lang w:val="en-US"/>
        </w:rPr>
        <w:lastRenderedPageBreak/>
        <w:tab/>
      </w:r>
    </w:p>
    <w:p w:rsidR="000F23EA" w:rsidRDefault="000F23EA" w:rsidP="000F23EA">
      <w:pPr>
        <w:tabs>
          <w:tab w:val="left" w:pos="3641"/>
        </w:tabs>
        <w:spacing w:before="240" w:after="0" w:line="240" w:lineRule="auto"/>
        <w:jc w:val="both"/>
        <w:rPr>
          <w:rFonts w:eastAsia="Calibri"/>
          <w:b/>
          <w:bCs/>
          <w:sz w:val="28"/>
          <w:szCs w:val="28"/>
          <w:rtl/>
        </w:rPr>
      </w:pPr>
      <w:r>
        <w:rPr>
          <w:rFonts w:eastAsia="Calibri"/>
          <w:b/>
          <w:bCs/>
          <w:sz w:val="28"/>
          <w:szCs w:val="28"/>
          <w:rtl/>
        </w:rPr>
        <w:tab/>
      </w:r>
    </w:p>
    <w:p w:rsidR="000F23EA" w:rsidRPr="002804B8" w:rsidRDefault="000F23EA" w:rsidP="000F23EA">
      <w:pPr>
        <w:tabs>
          <w:tab w:val="left" w:pos="2168"/>
        </w:tabs>
        <w:spacing w:before="240" w:after="0" w:line="240" w:lineRule="auto"/>
        <w:jc w:val="both"/>
        <w:rPr>
          <w:rFonts w:eastAsia="Calibri"/>
          <w:b/>
          <w:bCs/>
          <w:sz w:val="28"/>
          <w:szCs w:val="28"/>
          <w:rtl/>
        </w:rPr>
      </w:pPr>
      <w:r>
        <w:rPr>
          <w:rFonts w:eastAsia="Calibri"/>
          <w:b/>
          <w:bCs/>
          <w:noProof/>
          <w:sz w:val="28"/>
          <w:szCs w:val="28"/>
          <w:lang w:eastAsia="fr-FR" w:bidi="ar-SA"/>
        </w:rPr>
        <w:drawing>
          <wp:anchor distT="0" distB="0" distL="114300" distR="114300" simplePos="0" relativeHeight="251693056" behindDoc="0" locked="0" layoutInCell="1" allowOverlap="1">
            <wp:simplePos x="0" y="0"/>
            <wp:positionH relativeFrom="column">
              <wp:posOffset>565785</wp:posOffset>
            </wp:positionH>
            <wp:positionV relativeFrom="paragraph">
              <wp:posOffset>440055</wp:posOffset>
            </wp:positionV>
            <wp:extent cx="4799965" cy="709930"/>
            <wp:effectExtent l="95250" t="0" r="286385" b="185420"/>
            <wp:wrapNone/>
            <wp:docPr id="76"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0F23EA" w:rsidRPr="002804B8" w:rsidRDefault="000F23EA" w:rsidP="000F23EA">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0F23EA" w:rsidRPr="002804B8" w:rsidRDefault="000F23EA" w:rsidP="000F23EA">
      <w:pPr>
        <w:tabs>
          <w:tab w:val="left" w:pos="2168"/>
        </w:tabs>
        <w:spacing w:before="240" w:after="0" w:line="240" w:lineRule="auto"/>
        <w:jc w:val="both"/>
        <w:rPr>
          <w:rFonts w:eastAsia="Calibri"/>
          <w:b/>
          <w:bCs/>
          <w:sz w:val="28"/>
          <w:szCs w:val="28"/>
          <w:rtl/>
        </w:rPr>
      </w:pPr>
    </w:p>
    <w:p w:rsidR="000F23EA" w:rsidRPr="002804B8" w:rsidRDefault="00BB7C56" w:rsidP="000F23EA">
      <w:pPr>
        <w:tabs>
          <w:tab w:val="left" w:pos="2168"/>
        </w:tabs>
        <w:spacing w:before="240" w:after="0" w:line="240" w:lineRule="auto"/>
        <w:jc w:val="both"/>
        <w:rPr>
          <w:rFonts w:eastAsia="Calibri"/>
          <w:b/>
          <w:bCs/>
          <w:sz w:val="28"/>
          <w:szCs w:val="28"/>
          <w:rtl/>
        </w:rPr>
      </w:pPr>
      <w:r>
        <w:rPr>
          <w:rFonts w:asciiTheme="minorHAnsi" w:hAnsiTheme="minorHAnsi" w:cstheme="minorBidi"/>
          <w:noProof/>
          <w:sz w:val="22"/>
          <w:szCs w:val="22"/>
          <w:rtl/>
          <w:lang w:val="en-US" w:bidi="ar-SA"/>
        </w:rPr>
        <w:pict>
          <v:roundrect id="مستطيل مستدير الزوايا 78" o:spid="_x0000_s1030" style="position:absolute;left:0;text-align:left;margin-left:24.9pt;margin-top:33.05pt;width:410.25pt;height:195.25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" fillcolor="white [3201]" strokecolor="black [3200]" strokeweight="5pt">
            <v:stroke linestyle="thickThin"/>
            <v:shadow color="#868686"/>
            <v:textbox>
              <w:txbxContent>
                <w:p w:rsidR="0012210E" w:rsidRPr="00982873" w:rsidRDefault="0012210E" w:rsidP="000F23EA">
                  <w:pPr>
                    <w:spacing w:after="0" w:line="240" w:lineRule="auto"/>
                    <w:jc w:val="center"/>
                    <w:outlineLvl w:val="0"/>
                    <w:rPr>
                      <w:sz w:val="180"/>
                      <w:szCs w:val="180"/>
                      <w:rtl/>
                    </w:rPr>
                  </w:pPr>
                  <w:bookmarkStart w:id="3" w:name="_Toc461013572"/>
                  <w:r w:rsidRPr="00982873">
                    <w:rPr>
                      <w:sz w:val="180"/>
                      <w:szCs w:val="180"/>
                      <w:rtl/>
                    </w:rPr>
                    <w:t>مقدمة</w:t>
                  </w:r>
                  <w:bookmarkEnd w:id="3"/>
                </w:p>
              </w:txbxContent>
            </v:textbox>
          </v:roundrect>
        </w:pict>
      </w:r>
    </w:p>
    <w:p w:rsidR="000F23EA" w:rsidRPr="002804B8" w:rsidRDefault="000F23EA" w:rsidP="000F23EA">
      <w:pPr>
        <w:tabs>
          <w:tab w:val="left" w:pos="2168"/>
        </w:tabs>
        <w:spacing w:before="240" w:after="0" w:line="240" w:lineRule="auto"/>
        <w:jc w:val="both"/>
        <w:rPr>
          <w:rFonts w:eastAsia="Calibri"/>
          <w:b/>
          <w:bCs/>
          <w:sz w:val="28"/>
          <w:szCs w:val="28"/>
          <w:rtl/>
        </w:rPr>
      </w:pPr>
    </w:p>
    <w:p w:rsidR="000F23EA" w:rsidRPr="002804B8" w:rsidRDefault="000F23EA" w:rsidP="000F23EA">
      <w:pPr>
        <w:tabs>
          <w:tab w:val="left" w:pos="1841"/>
          <w:tab w:val="left" w:pos="2168"/>
        </w:tabs>
        <w:spacing w:before="240" w:after="0" w:line="240" w:lineRule="auto"/>
        <w:jc w:val="both"/>
        <w:rPr>
          <w:rFonts w:eastAsia="Calibri"/>
          <w:b/>
          <w:bCs/>
          <w:sz w:val="28"/>
          <w:szCs w:val="28"/>
          <w:rtl/>
        </w:rPr>
      </w:pPr>
    </w:p>
    <w:p w:rsidR="000F23EA" w:rsidRPr="002804B8" w:rsidRDefault="000F23EA" w:rsidP="000F23EA">
      <w:pPr>
        <w:tabs>
          <w:tab w:val="left" w:pos="2168"/>
        </w:tabs>
        <w:spacing w:before="240" w:after="0" w:line="240" w:lineRule="auto"/>
        <w:jc w:val="both"/>
        <w:rPr>
          <w:rFonts w:eastAsia="Calibri"/>
          <w:b/>
          <w:bCs/>
          <w:sz w:val="28"/>
          <w:szCs w:val="28"/>
          <w:rtl/>
        </w:rPr>
      </w:pPr>
    </w:p>
    <w:p w:rsidR="000F23EA" w:rsidRPr="002804B8" w:rsidRDefault="000F23EA" w:rsidP="000F23EA">
      <w:pPr>
        <w:tabs>
          <w:tab w:val="left" w:pos="2168"/>
        </w:tabs>
        <w:spacing w:before="240" w:after="0" w:line="240" w:lineRule="auto"/>
        <w:jc w:val="both"/>
        <w:rPr>
          <w:rFonts w:eastAsia="Calibri"/>
          <w:b/>
          <w:bCs/>
          <w:sz w:val="28"/>
          <w:szCs w:val="28"/>
          <w:rtl/>
        </w:rPr>
      </w:pPr>
    </w:p>
    <w:p w:rsidR="000F23EA" w:rsidRPr="002804B8" w:rsidRDefault="000F23EA" w:rsidP="000F23EA">
      <w:pPr>
        <w:tabs>
          <w:tab w:val="left" w:pos="2168"/>
        </w:tabs>
        <w:spacing w:before="240" w:after="0" w:line="240" w:lineRule="auto"/>
        <w:jc w:val="both"/>
        <w:rPr>
          <w:rFonts w:eastAsia="Calibri"/>
          <w:b/>
          <w:bCs/>
          <w:sz w:val="28"/>
          <w:szCs w:val="28"/>
          <w:rtl/>
        </w:rPr>
      </w:pPr>
    </w:p>
    <w:p w:rsidR="000F23EA" w:rsidRPr="002804B8" w:rsidRDefault="000F23EA" w:rsidP="000F23EA">
      <w:pPr>
        <w:spacing w:after="0" w:line="240" w:lineRule="auto"/>
        <w:jc w:val="both"/>
        <w:rPr>
          <w:b/>
          <w:bCs/>
          <w:rtl/>
        </w:rPr>
      </w:pPr>
    </w:p>
    <w:p w:rsidR="000F23EA" w:rsidRPr="002804B8" w:rsidRDefault="000F23EA" w:rsidP="000F23EA">
      <w:pPr>
        <w:spacing w:after="0" w:line="240" w:lineRule="auto"/>
        <w:jc w:val="both"/>
        <w:rPr>
          <w:b/>
          <w:bCs/>
          <w:rtl/>
        </w:rPr>
      </w:pPr>
    </w:p>
    <w:p w:rsidR="000F23EA" w:rsidRPr="002804B8" w:rsidRDefault="000F23EA" w:rsidP="000F23EA">
      <w:pPr>
        <w:spacing w:after="0" w:line="240" w:lineRule="auto"/>
        <w:jc w:val="both"/>
        <w:rPr>
          <w:b/>
          <w:bCs/>
          <w:rtl/>
        </w:rPr>
      </w:pPr>
      <w:r>
        <w:rPr>
          <w:rFonts w:eastAsia="Calibri"/>
          <w:b/>
          <w:bCs/>
          <w:noProof/>
          <w:sz w:val="28"/>
          <w:szCs w:val="28"/>
          <w:lang w:eastAsia="fr-FR" w:bidi="ar-SA"/>
        </w:rPr>
        <w:drawing>
          <wp:anchor distT="0" distB="0" distL="114300" distR="114300" simplePos="0" relativeHeight="251694080" behindDoc="0" locked="0" layoutInCell="1" allowOverlap="1">
            <wp:simplePos x="0" y="0"/>
            <wp:positionH relativeFrom="column">
              <wp:posOffset>337185</wp:posOffset>
            </wp:positionH>
            <wp:positionV relativeFrom="paragraph">
              <wp:posOffset>151765</wp:posOffset>
            </wp:positionV>
            <wp:extent cx="4799965" cy="709930"/>
            <wp:effectExtent l="114300" t="19050" r="267335" b="147320"/>
            <wp:wrapNone/>
            <wp:docPr id="77"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0F23EA" w:rsidRDefault="000F23EA" w:rsidP="000F23EA">
      <w:pPr>
        <w:spacing w:after="0" w:line="240" w:lineRule="auto"/>
        <w:jc w:val="both"/>
        <w:rPr>
          <w:b/>
          <w:bCs/>
          <w:rtl/>
        </w:rPr>
      </w:pPr>
    </w:p>
    <w:p w:rsidR="000F23EA" w:rsidRDefault="000F23EA" w:rsidP="000F23EA">
      <w:pPr>
        <w:spacing w:after="0" w:line="240" w:lineRule="auto"/>
        <w:jc w:val="both"/>
        <w:rPr>
          <w:b/>
          <w:bCs/>
          <w:rtl/>
        </w:rPr>
      </w:pPr>
    </w:p>
    <w:p w:rsidR="000F23EA" w:rsidRPr="002804B8" w:rsidRDefault="000F23EA" w:rsidP="000F23EA">
      <w:pPr>
        <w:spacing w:after="0" w:line="240" w:lineRule="auto"/>
        <w:jc w:val="both"/>
        <w:rPr>
          <w:b/>
          <w:bCs/>
          <w:rtl/>
        </w:rPr>
      </w:pPr>
    </w:p>
    <w:p w:rsidR="000F23EA" w:rsidRPr="002804B8" w:rsidRDefault="000F23EA" w:rsidP="000F23EA">
      <w:pPr>
        <w:spacing w:after="0" w:line="240" w:lineRule="auto"/>
        <w:jc w:val="both"/>
        <w:rPr>
          <w:b/>
          <w:bCs/>
          <w:rtl/>
        </w:rPr>
      </w:pPr>
    </w:p>
    <w:p w:rsidR="000F23EA" w:rsidRPr="005E4187" w:rsidRDefault="000F23EA" w:rsidP="000F23EA">
      <w:pPr>
        <w:spacing w:after="0" w:line="240" w:lineRule="auto"/>
        <w:jc w:val="both"/>
      </w:pPr>
    </w:p>
    <w:p w:rsidR="000F23EA" w:rsidRDefault="000F23EA" w:rsidP="000F23EA">
      <w:pPr>
        <w:tabs>
          <w:tab w:val="left" w:pos="1286"/>
          <w:tab w:val="right" w:pos="9071"/>
        </w:tabs>
        <w:rPr>
          <w:rFonts w:ascii="Hacen Vanilla" w:hAnsi="Hacen Vanilla" w:cs="Hacen Vanilla"/>
          <w:sz w:val="40"/>
          <w:szCs w:val="40"/>
          <w:rtl/>
          <w:lang w:val="en-US"/>
        </w:rPr>
      </w:pPr>
      <w:r>
        <w:rPr>
          <w:rFonts w:ascii="Hacen Vanilla" w:hAnsi="Hacen Vanilla" w:cs="Hacen Vanilla"/>
          <w:sz w:val="40"/>
          <w:szCs w:val="40"/>
          <w:rtl/>
          <w:lang w:val="en-US"/>
        </w:rPr>
        <w:tab/>
      </w:r>
    </w:p>
    <w:p w:rsidR="004A2766" w:rsidRPr="000F23EA" w:rsidRDefault="004A2766" w:rsidP="000F23EA">
      <w:pPr>
        <w:rPr>
          <w:rFonts w:ascii="Hacen Vanilla" w:hAnsi="Hacen Vanilla" w:cs="Hacen Vanilla"/>
          <w:sz w:val="40"/>
          <w:szCs w:val="40"/>
          <w:rtl/>
          <w:lang w:val="en-US"/>
        </w:rPr>
        <w:sectPr w:rsidR="004A2766" w:rsidRPr="000F23EA" w:rsidSect="000F23EA">
          <w:headerReference w:type="default" r:id="rId13"/>
          <w:footerReference w:type="default" r:id="rId14"/>
          <w:pgSz w:w="11906" w:h="16838"/>
          <w:pgMar w:top="1134" w:right="1701" w:bottom="1134" w:left="1134" w:header="709" w:footer="709" w:gutter="0"/>
          <w:cols w:space="708"/>
          <w:bidi/>
          <w:rtlGutter/>
          <w:docGrid w:linePitch="435"/>
        </w:sectPr>
      </w:pPr>
    </w:p>
    <w:p w:rsidR="004A2766" w:rsidRDefault="004A2766" w:rsidP="0012210E">
      <w:pPr>
        <w:spacing w:line="360" w:lineRule="auto"/>
        <w:ind w:firstLine="708"/>
        <w:jc w:val="both"/>
        <w:rPr>
          <w:rtl/>
        </w:rPr>
      </w:pPr>
      <w:r w:rsidRPr="00E3403C">
        <w:rPr>
          <w:rtl/>
        </w:rPr>
        <w:lastRenderedPageBreak/>
        <w:t>يعتبر الزواج الميثاق الغليظ الذي يتم بين رجل وامرأة على وجه شرعي قائم على تكوين أسرة أساسها المودة والرحم</w:t>
      </w:r>
      <w:r w:rsidRPr="009D69EF">
        <w:rPr>
          <w:rtl/>
        </w:rPr>
        <w:t>ة</w:t>
      </w:r>
      <w:r>
        <w:rPr>
          <w:rFonts w:hint="cs"/>
          <w:rtl/>
        </w:rPr>
        <w:t> و</w:t>
      </w:r>
      <w:r w:rsidRPr="009D69EF">
        <w:rPr>
          <w:rtl/>
        </w:rPr>
        <w:t>ا</w:t>
      </w:r>
      <w:r w:rsidRPr="00E3403C">
        <w:rPr>
          <w:rtl/>
        </w:rPr>
        <w:t xml:space="preserve">لإمساك بالمعروف أو التسريح بإحسان، فرغب الله تعالى فيه وندب إليه بأنه وسيلة </w:t>
      </w:r>
      <w:proofErr w:type="spellStart"/>
      <w:r w:rsidRPr="00E3403C">
        <w:rPr>
          <w:rtl/>
        </w:rPr>
        <w:t>الإعفاف</w:t>
      </w:r>
      <w:proofErr w:type="spellEnd"/>
      <w:r w:rsidRPr="00E3403C">
        <w:rPr>
          <w:rtl/>
        </w:rPr>
        <w:t xml:space="preserve"> وطريق السعادة وسبيل الطمأنينة </w:t>
      </w:r>
      <w:proofErr w:type="spellStart"/>
      <w:r w:rsidRPr="00E3403C">
        <w:rPr>
          <w:rtl/>
        </w:rPr>
        <w:t>والإستقرار</w:t>
      </w:r>
      <w:proofErr w:type="spellEnd"/>
      <w:r w:rsidRPr="00E3403C">
        <w:rPr>
          <w:rtl/>
        </w:rPr>
        <w:t xml:space="preserve"> حيث قال صلى الله عليه وسلم </w:t>
      </w:r>
      <w:r>
        <w:rPr>
          <w:rtl/>
        </w:rPr>
        <w:t>«</w:t>
      </w:r>
      <w:r w:rsidRPr="00E3403C">
        <w:rPr>
          <w:rtl/>
        </w:rPr>
        <w:t xml:space="preserve">يا معشر الشباب من </w:t>
      </w:r>
      <w:proofErr w:type="spellStart"/>
      <w:r w:rsidRPr="00E3403C">
        <w:rPr>
          <w:rtl/>
        </w:rPr>
        <w:t>إستطاع</w:t>
      </w:r>
      <w:proofErr w:type="spellEnd"/>
      <w:r w:rsidRPr="00E3403C">
        <w:rPr>
          <w:rtl/>
        </w:rPr>
        <w:t xml:space="preserve"> منكم الباءة فليتزوج، فإنه أغض للبصر وأحصن للفرج</w:t>
      </w:r>
      <w:r>
        <w:rPr>
          <w:rtl/>
        </w:rPr>
        <w:t>»</w:t>
      </w:r>
      <w:r>
        <w:rPr>
          <w:rFonts w:hint="cs"/>
          <w:rtl/>
        </w:rPr>
        <w:t xml:space="preserve"> متفق عليه.</w:t>
      </w:r>
    </w:p>
    <w:p w:rsidR="004A2766" w:rsidRDefault="004A2766" w:rsidP="008A5D2D">
      <w:pPr>
        <w:spacing w:line="360" w:lineRule="auto"/>
        <w:jc w:val="both"/>
        <w:rPr>
          <w:rtl/>
        </w:rPr>
      </w:pPr>
      <w:r>
        <w:tab/>
      </w:r>
      <w:r>
        <w:rPr>
          <w:rFonts w:hint="cs"/>
          <w:rtl/>
        </w:rPr>
        <w:t xml:space="preserve">ومن ذلك يبدو اهتمام الإسلام بالزواج والحث عليه لأنه به تقوم الأسرة فبين سبيل المحافظة عليها من خلال المحافظة على العلاقة الزوجية وتفادي </w:t>
      </w:r>
      <w:proofErr w:type="spellStart"/>
      <w:r>
        <w:rPr>
          <w:rFonts w:hint="cs"/>
          <w:rtl/>
        </w:rPr>
        <w:t>إنحلالها</w:t>
      </w:r>
      <w:proofErr w:type="spellEnd"/>
      <w:r>
        <w:rPr>
          <w:rFonts w:hint="cs"/>
          <w:rtl/>
        </w:rPr>
        <w:t xml:space="preserve">، لأنه قد تحدث أمور فتعكر صفو العلاقة الزوجية وفي كثير من الأحيان الى درجة إرادة وضع حد لها وإنهائها ولذلك وضع منهاجا لحل مشاكل العلاقة الزوجية وتفادي </w:t>
      </w:r>
      <w:proofErr w:type="spellStart"/>
      <w:r>
        <w:rPr>
          <w:rFonts w:hint="cs"/>
          <w:rtl/>
        </w:rPr>
        <w:t>إنحلالها</w:t>
      </w:r>
      <w:proofErr w:type="spellEnd"/>
      <w:r>
        <w:rPr>
          <w:rFonts w:hint="cs"/>
          <w:rtl/>
        </w:rPr>
        <w:t xml:space="preserve"> والتي يعتبر الصلح أحد أهم وسيلة وأنجحها للتوفيق بين الزوجين وهذا في حالة حدوث شقاق أو نشوز أو طلاق فهذا السبيل أقرته الشريعة الإسلامية في كتبها جامعة وكذا القانون من خلال نص المشرع على مبدأ الصلح بين الزوجين في الطلاق بحيث جعل الطلاق لا يثبت إلا بعد محاولات الصلح التي يجريها القاضي كما نص كذلك على التحكيم للتوفيق بين الزوجين فهاتين الوسيلتين تعتبر طرق للصلح بين الزوجين.</w:t>
      </w:r>
    </w:p>
    <w:p w:rsidR="004A2766" w:rsidRPr="000E144C" w:rsidRDefault="004A2766" w:rsidP="008A5D2D">
      <w:pPr>
        <w:pStyle w:val="Paragraphedeliste"/>
        <w:numPr>
          <w:ilvl w:val="0"/>
          <w:numId w:val="3"/>
        </w:numPr>
        <w:bidi/>
        <w:spacing w:line="360" w:lineRule="auto"/>
        <w:jc w:val="both"/>
        <w:rPr>
          <w:rFonts w:ascii="Simplified Arabic" w:hAnsi="Simplified Arabic" w:cs="Simplified Arabic"/>
          <w:b/>
          <w:bCs/>
          <w:sz w:val="32"/>
          <w:szCs w:val="32"/>
          <w:rtl/>
          <w:lang w:bidi="ar-DZ"/>
        </w:rPr>
      </w:pPr>
      <w:r w:rsidRPr="000E144C">
        <w:rPr>
          <w:rFonts w:ascii="Simplified Arabic" w:hAnsi="Simplified Arabic" w:cs="Simplified Arabic" w:hint="cs"/>
          <w:b/>
          <w:bCs/>
          <w:sz w:val="32"/>
          <w:szCs w:val="32"/>
          <w:rtl/>
          <w:lang w:bidi="ar-DZ"/>
        </w:rPr>
        <w:t>أهمية الموضوع:</w:t>
      </w:r>
    </w:p>
    <w:p w:rsidR="004A2766" w:rsidRPr="00CB662F" w:rsidRDefault="004A2766" w:rsidP="008A5D2D">
      <w:pPr>
        <w:spacing w:line="360" w:lineRule="auto"/>
        <w:jc w:val="both"/>
        <w:rPr>
          <w:rtl/>
        </w:rPr>
      </w:pPr>
      <w:r w:rsidRPr="00CB662F">
        <w:rPr>
          <w:rFonts w:hint="cs"/>
          <w:rtl/>
        </w:rPr>
        <w:t>- الصلح يخفف العبء عن المتخاصمين والقضاء، فقد يتصالح الأطراف قبل اللجوء إلى القضاء أو أثناء النظر في الدعوى.</w:t>
      </w:r>
    </w:p>
    <w:p w:rsidR="004A2766" w:rsidRPr="00CB662F" w:rsidRDefault="004A2766" w:rsidP="008A5D2D">
      <w:pPr>
        <w:spacing w:line="360" w:lineRule="auto"/>
        <w:jc w:val="both"/>
        <w:rPr>
          <w:rtl/>
        </w:rPr>
      </w:pPr>
      <w:r w:rsidRPr="00CB662F">
        <w:rPr>
          <w:rFonts w:hint="cs"/>
          <w:rtl/>
        </w:rPr>
        <w:lastRenderedPageBreak/>
        <w:t>- الصلح يكسبهم المال والوقت والجهد الذي يضيعونه في التقاضي الذي يتميز بإجراءات معقدة ومكلفة.</w:t>
      </w:r>
    </w:p>
    <w:p w:rsidR="004A2766" w:rsidRPr="00CB662F" w:rsidRDefault="004A2766" w:rsidP="008A5D2D">
      <w:pPr>
        <w:spacing w:line="360" w:lineRule="auto"/>
        <w:jc w:val="both"/>
        <w:rPr>
          <w:rtl/>
        </w:rPr>
      </w:pPr>
      <w:r w:rsidRPr="00CB662F">
        <w:rPr>
          <w:rFonts w:hint="cs"/>
          <w:rtl/>
        </w:rPr>
        <w:t>- الصلح يؤلف ما بين القلوب وينبذ الشقاق والخصام والعداوة.</w:t>
      </w:r>
    </w:p>
    <w:p w:rsidR="004A2766" w:rsidRPr="00CB662F" w:rsidRDefault="004A2766" w:rsidP="008A5D2D">
      <w:pPr>
        <w:spacing w:line="360" w:lineRule="auto"/>
        <w:jc w:val="both"/>
        <w:rPr>
          <w:rtl/>
        </w:rPr>
      </w:pPr>
      <w:r w:rsidRPr="00CB662F">
        <w:rPr>
          <w:rFonts w:hint="cs"/>
          <w:rtl/>
        </w:rPr>
        <w:t>- الصلح رمز للأخوة والألفة والسلم.</w:t>
      </w:r>
    </w:p>
    <w:p w:rsidR="004A2766" w:rsidRPr="00CB662F" w:rsidRDefault="004A2766" w:rsidP="008A5D2D">
      <w:pPr>
        <w:spacing w:line="360" w:lineRule="auto"/>
        <w:jc w:val="both"/>
        <w:rPr>
          <w:rtl/>
        </w:rPr>
      </w:pPr>
      <w:r w:rsidRPr="00CB662F">
        <w:rPr>
          <w:rFonts w:hint="cs"/>
          <w:rtl/>
        </w:rPr>
        <w:t>- الصلح يقطع النزاع ويقضي على الخصومات والفتن.</w:t>
      </w:r>
    </w:p>
    <w:p w:rsidR="004A2766" w:rsidRPr="000E144C" w:rsidRDefault="004A2766" w:rsidP="008A5D2D">
      <w:pPr>
        <w:pStyle w:val="Paragraphedeliste"/>
        <w:numPr>
          <w:ilvl w:val="0"/>
          <w:numId w:val="2"/>
        </w:numPr>
        <w:bidi/>
        <w:spacing w:line="360" w:lineRule="auto"/>
        <w:jc w:val="both"/>
        <w:rPr>
          <w:rFonts w:ascii="Simplified Arabic" w:hAnsi="Simplified Arabic" w:cs="Simplified Arabic"/>
          <w:b/>
          <w:bCs/>
          <w:sz w:val="32"/>
          <w:szCs w:val="32"/>
          <w:rtl/>
          <w:lang w:bidi="ar-DZ"/>
        </w:rPr>
      </w:pPr>
      <w:r w:rsidRPr="000E144C">
        <w:rPr>
          <w:rFonts w:ascii="Simplified Arabic" w:hAnsi="Simplified Arabic" w:cs="Simplified Arabic" w:hint="cs"/>
          <w:b/>
          <w:bCs/>
          <w:sz w:val="32"/>
          <w:szCs w:val="32"/>
          <w:rtl/>
          <w:lang w:bidi="ar-DZ"/>
        </w:rPr>
        <w:t xml:space="preserve">أسباب </w:t>
      </w:r>
      <w:proofErr w:type="spellStart"/>
      <w:r w:rsidRPr="000E144C">
        <w:rPr>
          <w:rFonts w:ascii="Simplified Arabic" w:hAnsi="Simplified Arabic" w:cs="Simplified Arabic" w:hint="cs"/>
          <w:b/>
          <w:bCs/>
          <w:sz w:val="32"/>
          <w:szCs w:val="32"/>
          <w:rtl/>
          <w:lang w:bidi="ar-DZ"/>
        </w:rPr>
        <w:t>إختيار</w:t>
      </w:r>
      <w:proofErr w:type="spellEnd"/>
      <w:r w:rsidRPr="000E144C">
        <w:rPr>
          <w:rFonts w:ascii="Simplified Arabic" w:hAnsi="Simplified Arabic" w:cs="Simplified Arabic" w:hint="cs"/>
          <w:b/>
          <w:bCs/>
          <w:sz w:val="32"/>
          <w:szCs w:val="32"/>
          <w:rtl/>
          <w:lang w:bidi="ar-DZ"/>
        </w:rPr>
        <w:t xml:space="preserve"> الموضوع:</w:t>
      </w:r>
    </w:p>
    <w:p w:rsidR="004A2766" w:rsidRDefault="004A2766" w:rsidP="008A5D2D">
      <w:pPr>
        <w:spacing w:line="360" w:lineRule="auto"/>
        <w:ind w:firstLine="708"/>
        <w:jc w:val="both"/>
        <w:rPr>
          <w:rtl/>
        </w:rPr>
      </w:pPr>
      <w:r>
        <w:rPr>
          <w:rFonts w:hint="cs"/>
          <w:rtl/>
        </w:rPr>
        <w:t xml:space="preserve"> الفائدة </w:t>
      </w:r>
      <w:proofErr w:type="spellStart"/>
      <w:r>
        <w:rPr>
          <w:rFonts w:hint="cs"/>
          <w:rtl/>
        </w:rPr>
        <w:t>الإجتماعية</w:t>
      </w:r>
      <w:proofErr w:type="spellEnd"/>
      <w:r>
        <w:rPr>
          <w:rFonts w:hint="cs"/>
          <w:rtl/>
        </w:rPr>
        <w:t xml:space="preserve">: فنظرا لما نراه من </w:t>
      </w:r>
      <w:proofErr w:type="spellStart"/>
      <w:r>
        <w:rPr>
          <w:rFonts w:hint="cs"/>
          <w:rtl/>
        </w:rPr>
        <w:t>إزدحام</w:t>
      </w:r>
      <w:proofErr w:type="spellEnd"/>
      <w:r>
        <w:rPr>
          <w:rFonts w:hint="cs"/>
          <w:rtl/>
        </w:rPr>
        <w:t xml:space="preserve"> الناس على دور القضاء على </w:t>
      </w:r>
      <w:proofErr w:type="spellStart"/>
      <w:r>
        <w:rPr>
          <w:rFonts w:hint="cs"/>
          <w:rtl/>
        </w:rPr>
        <w:t>إختلاف</w:t>
      </w:r>
      <w:proofErr w:type="spellEnd"/>
      <w:r>
        <w:rPr>
          <w:rFonts w:hint="cs"/>
          <w:rtl/>
        </w:rPr>
        <w:t xml:space="preserve"> درجاتها وأماكنها لذلك فإن من الأبواب الكفيلة للتصدي لهذا الوجه السلبي هو إبرام عقود الصلح بين المتخاصمين فهذا موقف واجب الوقوف عنه </w:t>
      </w:r>
      <w:proofErr w:type="spellStart"/>
      <w:r>
        <w:rPr>
          <w:rFonts w:hint="cs"/>
          <w:rtl/>
        </w:rPr>
        <w:t>بالإهتمام</w:t>
      </w:r>
      <w:proofErr w:type="spellEnd"/>
      <w:r>
        <w:rPr>
          <w:rFonts w:hint="cs"/>
          <w:rtl/>
        </w:rPr>
        <w:t xml:space="preserve"> والدراسة والبحث، ولا أعظم من رسول الله صلى الله عليه وسلم فقد أبرم صلح الحديبية مع المشركين، فكل المجتمعات الإسلامية القائمة على المحافظة على موازين العدل والإنصاف تراعي إقامة الصلح في كل المنازعات سواء الفردية </w:t>
      </w:r>
      <w:proofErr w:type="spellStart"/>
      <w:r>
        <w:rPr>
          <w:rFonts w:hint="cs"/>
          <w:rtl/>
        </w:rPr>
        <w:t>والإجتماعية</w:t>
      </w:r>
      <w:proofErr w:type="spellEnd"/>
      <w:r>
        <w:rPr>
          <w:rFonts w:hint="cs"/>
          <w:rtl/>
        </w:rPr>
        <w:t>.</w:t>
      </w:r>
    </w:p>
    <w:p w:rsidR="004A2766" w:rsidRPr="000E144C" w:rsidRDefault="004A2766" w:rsidP="008A5D2D">
      <w:pPr>
        <w:pStyle w:val="Paragraphedeliste"/>
        <w:numPr>
          <w:ilvl w:val="0"/>
          <w:numId w:val="2"/>
        </w:numPr>
        <w:bidi/>
        <w:spacing w:line="360" w:lineRule="auto"/>
        <w:jc w:val="both"/>
        <w:rPr>
          <w:rFonts w:ascii="Simplified Arabic" w:hAnsi="Simplified Arabic" w:cs="Simplified Arabic"/>
          <w:b/>
          <w:bCs/>
          <w:sz w:val="32"/>
          <w:szCs w:val="32"/>
          <w:rtl/>
          <w:lang w:bidi="ar-DZ"/>
        </w:rPr>
      </w:pPr>
      <w:r w:rsidRPr="000E144C">
        <w:rPr>
          <w:rFonts w:ascii="Simplified Arabic" w:hAnsi="Simplified Arabic" w:cs="Simplified Arabic" w:hint="cs"/>
          <w:b/>
          <w:bCs/>
          <w:sz w:val="32"/>
          <w:szCs w:val="32"/>
          <w:rtl/>
          <w:lang w:bidi="ar-DZ"/>
        </w:rPr>
        <w:t>المنهج المتبع:</w:t>
      </w:r>
    </w:p>
    <w:p w:rsidR="004A2766" w:rsidRDefault="004A2766" w:rsidP="008A5D2D">
      <w:pPr>
        <w:spacing w:line="360" w:lineRule="auto"/>
        <w:ind w:firstLine="708"/>
        <w:jc w:val="both"/>
        <w:rPr>
          <w:rtl/>
        </w:rPr>
      </w:pPr>
      <w:r>
        <w:rPr>
          <w:rFonts w:hint="cs"/>
          <w:rtl/>
        </w:rPr>
        <w:t xml:space="preserve">وقد </w:t>
      </w:r>
      <w:r w:rsidR="00562CF7">
        <w:rPr>
          <w:rFonts w:hint="cs"/>
          <w:rtl/>
        </w:rPr>
        <w:t>اعتمدنا</w:t>
      </w:r>
      <w:r>
        <w:rPr>
          <w:rFonts w:hint="cs"/>
          <w:rtl/>
        </w:rPr>
        <w:t xml:space="preserve"> في بحثنا هذا على المنهج التحليلي والمقارن، فالتحليلي من خلال تفحصنا للنصوص القانونية المتعلقة بنظام الصلح، أما المقارن فقد قارنا نظام الصلح في القانون والشريعة الإسلامية، وهذا لإبراز أوجه </w:t>
      </w:r>
      <w:r w:rsidR="00562CF7">
        <w:rPr>
          <w:rFonts w:hint="cs"/>
          <w:rtl/>
        </w:rPr>
        <w:t>الاختلاف</w:t>
      </w:r>
      <w:r>
        <w:rPr>
          <w:rFonts w:hint="cs"/>
          <w:rtl/>
        </w:rPr>
        <w:t xml:space="preserve"> والتشابه بينهما.</w:t>
      </w:r>
    </w:p>
    <w:p w:rsidR="004A2766" w:rsidRPr="00A5226A" w:rsidRDefault="004A2766" w:rsidP="008A5D2D">
      <w:pPr>
        <w:pStyle w:val="Paragraphedeliste"/>
        <w:numPr>
          <w:ilvl w:val="0"/>
          <w:numId w:val="4"/>
        </w:numPr>
        <w:bidi/>
        <w:spacing w:line="360" w:lineRule="auto"/>
        <w:jc w:val="both"/>
        <w:rPr>
          <w:rFonts w:ascii="Simplified Arabic" w:hAnsi="Simplified Arabic" w:cs="Simplified Arabic"/>
          <w:sz w:val="32"/>
          <w:szCs w:val="32"/>
          <w:rtl/>
          <w:lang w:bidi="ar-DZ"/>
        </w:rPr>
      </w:pPr>
      <w:r w:rsidRPr="00A5226A">
        <w:rPr>
          <w:rFonts w:ascii="Simplified Arabic" w:hAnsi="Simplified Arabic" w:cs="Simplified Arabic" w:hint="cs"/>
          <w:b/>
          <w:bCs/>
          <w:sz w:val="32"/>
          <w:szCs w:val="32"/>
          <w:rtl/>
          <w:lang w:bidi="ar-DZ"/>
        </w:rPr>
        <w:lastRenderedPageBreak/>
        <w:t>الدراسات السابقة:</w:t>
      </w:r>
    </w:p>
    <w:p w:rsidR="004A2766" w:rsidRDefault="004A2766" w:rsidP="008A5D2D">
      <w:pPr>
        <w:spacing w:line="360" w:lineRule="auto"/>
        <w:ind w:firstLine="708"/>
        <w:jc w:val="both"/>
        <w:rPr>
          <w:rtl/>
        </w:rPr>
      </w:pPr>
      <w:r>
        <w:rPr>
          <w:rFonts w:hint="cs"/>
          <w:rtl/>
        </w:rPr>
        <w:t>هناك بعض الدراسات السابقة التي تناولت دراسة الموضوع الصلح بين الزوجين من بينها:</w:t>
      </w:r>
    </w:p>
    <w:p w:rsidR="004A2766" w:rsidRPr="00A5226A" w:rsidRDefault="004A2766" w:rsidP="008A5D2D">
      <w:pPr>
        <w:pStyle w:val="Paragraphedeliste"/>
        <w:numPr>
          <w:ilvl w:val="0"/>
          <w:numId w:val="1"/>
        </w:numPr>
        <w:bidi/>
        <w:spacing w:line="360" w:lineRule="auto"/>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عروي عبد الكريم، الطرق البديلة في حل النزاعات القضائية "الصلح والوساطة القضائية"، مذكرة لنيل شهادة الماجستير، جامعة الجزائر1، كلية الحقوق، 2012.</w:t>
      </w:r>
    </w:p>
    <w:p w:rsidR="004A2766" w:rsidRDefault="004A2766" w:rsidP="008A5D2D">
      <w:pPr>
        <w:spacing w:line="360" w:lineRule="auto"/>
        <w:ind w:firstLine="708"/>
        <w:jc w:val="both"/>
        <w:rPr>
          <w:rtl/>
        </w:rPr>
      </w:pPr>
      <w:r>
        <w:rPr>
          <w:rFonts w:hint="cs"/>
          <w:rtl/>
        </w:rPr>
        <w:t>إن هذه الدراسة تناولت موضوع الصلح بصفة عامة ومن الناحية القانونية كطريقة لحل النزاعات القضائية، إلا أنها لم تتطرق إلى الصلح بين الزوجين بل أشارت إلى موضوع الصلح القضائي فقط.</w:t>
      </w:r>
    </w:p>
    <w:p w:rsidR="004A2766" w:rsidRPr="000E144C" w:rsidRDefault="004A2766" w:rsidP="008A5D2D">
      <w:pPr>
        <w:pStyle w:val="Paragraphedeliste"/>
        <w:numPr>
          <w:ilvl w:val="0"/>
          <w:numId w:val="2"/>
        </w:numPr>
        <w:bidi/>
        <w:spacing w:line="360" w:lineRule="auto"/>
        <w:jc w:val="both"/>
        <w:rPr>
          <w:rFonts w:ascii="Simplified Arabic" w:hAnsi="Simplified Arabic" w:cs="Simplified Arabic"/>
          <w:b/>
          <w:bCs/>
          <w:sz w:val="32"/>
          <w:szCs w:val="32"/>
          <w:rtl/>
          <w:lang w:bidi="ar-DZ"/>
        </w:rPr>
      </w:pPr>
      <w:r w:rsidRPr="000E144C">
        <w:rPr>
          <w:rFonts w:ascii="Simplified Arabic" w:hAnsi="Simplified Arabic" w:cs="Simplified Arabic" w:hint="cs"/>
          <w:b/>
          <w:bCs/>
          <w:sz w:val="32"/>
          <w:szCs w:val="32"/>
          <w:rtl/>
          <w:lang w:bidi="ar-DZ"/>
        </w:rPr>
        <w:t>الإشكالية:</w:t>
      </w:r>
    </w:p>
    <w:p w:rsidR="004A2766" w:rsidRDefault="004A2766" w:rsidP="008A5D2D">
      <w:pPr>
        <w:spacing w:line="360" w:lineRule="auto"/>
        <w:jc w:val="both"/>
        <w:rPr>
          <w:rtl/>
        </w:rPr>
      </w:pPr>
      <w:r>
        <w:rPr>
          <w:rFonts w:hint="cs"/>
          <w:rtl/>
        </w:rPr>
        <w:t xml:space="preserve">وعلى ما تقدم </w:t>
      </w:r>
      <w:proofErr w:type="spellStart"/>
      <w:r>
        <w:rPr>
          <w:rFonts w:hint="cs"/>
          <w:rtl/>
        </w:rPr>
        <w:t>إعتمدنا</w:t>
      </w:r>
      <w:proofErr w:type="spellEnd"/>
      <w:r>
        <w:rPr>
          <w:rFonts w:hint="cs"/>
          <w:rtl/>
        </w:rPr>
        <w:t xml:space="preserve"> الإشكالية التالية:</w:t>
      </w:r>
    </w:p>
    <w:p w:rsidR="004A2766" w:rsidRPr="000E144C" w:rsidRDefault="004A2766" w:rsidP="008A5D2D">
      <w:pPr>
        <w:pStyle w:val="Paragraphedeliste"/>
        <w:numPr>
          <w:ilvl w:val="0"/>
          <w:numId w:val="1"/>
        </w:numPr>
        <w:bidi/>
        <w:spacing w:line="360" w:lineRule="auto"/>
        <w:jc w:val="both"/>
        <w:rPr>
          <w:rFonts w:ascii="Simplified Arabic" w:hAnsi="Simplified Arabic" w:cs="Simplified Arabic"/>
          <w:b/>
          <w:bCs/>
          <w:sz w:val="32"/>
          <w:szCs w:val="32"/>
          <w:lang w:bidi="ar-DZ"/>
        </w:rPr>
      </w:pPr>
      <w:r w:rsidRPr="000E144C">
        <w:rPr>
          <w:rFonts w:ascii="Simplified Arabic" w:hAnsi="Simplified Arabic" w:cs="Simplified Arabic" w:hint="cs"/>
          <w:b/>
          <w:bCs/>
          <w:sz w:val="32"/>
          <w:szCs w:val="32"/>
          <w:rtl/>
          <w:lang w:bidi="ar-DZ"/>
        </w:rPr>
        <w:t xml:space="preserve">ما مدى دور الصلح في تفادي تكدر العلاقة الزوجية في الفقه والقانون؟ </w:t>
      </w:r>
    </w:p>
    <w:p w:rsidR="004A2766" w:rsidRPr="000E144C" w:rsidRDefault="004A2766" w:rsidP="008A5D2D">
      <w:pPr>
        <w:spacing w:line="360" w:lineRule="auto"/>
        <w:ind w:left="360"/>
        <w:jc w:val="both"/>
        <w:rPr>
          <w:rtl/>
        </w:rPr>
      </w:pPr>
      <w:r w:rsidRPr="000E144C">
        <w:rPr>
          <w:rFonts w:hint="cs"/>
          <w:rtl/>
        </w:rPr>
        <w:t>ومن خلال الإشكالية يمكن صياغة الأسئلة الفرعية التالية:</w:t>
      </w:r>
    </w:p>
    <w:p w:rsidR="004A2766" w:rsidRDefault="004A2766" w:rsidP="008A5D2D">
      <w:pPr>
        <w:pStyle w:val="Paragraphedeliste"/>
        <w:numPr>
          <w:ilvl w:val="0"/>
          <w:numId w:val="1"/>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هل لعقد الصلح خصائص تميزه عن باقي العقود؟ </w:t>
      </w:r>
    </w:p>
    <w:p w:rsidR="004A2766" w:rsidRDefault="004A2766" w:rsidP="008A5D2D">
      <w:pPr>
        <w:pStyle w:val="Paragraphedeliste"/>
        <w:numPr>
          <w:ilvl w:val="0"/>
          <w:numId w:val="1"/>
        </w:numPr>
        <w:bidi/>
        <w:spacing w:line="360" w:lineRule="auto"/>
        <w:jc w:val="both"/>
        <w:rPr>
          <w:rFonts w:ascii="Simplified Arabic" w:hAnsi="Simplified Arabic" w:cs="Simplified Arabic"/>
          <w:sz w:val="32"/>
          <w:szCs w:val="32"/>
          <w:lang w:bidi="ar-DZ"/>
        </w:rPr>
      </w:pPr>
      <w:proofErr w:type="spellStart"/>
      <w:r>
        <w:rPr>
          <w:rFonts w:ascii="Simplified Arabic" w:hAnsi="Simplified Arabic" w:cs="Simplified Arabic" w:hint="cs"/>
          <w:sz w:val="32"/>
          <w:szCs w:val="32"/>
          <w:rtl/>
          <w:lang w:bidi="ar-DZ"/>
        </w:rPr>
        <w:t>ماهو</w:t>
      </w:r>
      <w:proofErr w:type="spellEnd"/>
      <w:r>
        <w:rPr>
          <w:rFonts w:ascii="Simplified Arabic" w:hAnsi="Simplified Arabic" w:cs="Simplified Arabic" w:hint="cs"/>
          <w:sz w:val="32"/>
          <w:szCs w:val="32"/>
          <w:rtl/>
          <w:lang w:bidi="ar-DZ"/>
        </w:rPr>
        <w:t xml:space="preserve"> دور الصلح في قضايا الأسرة؟</w:t>
      </w:r>
    </w:p>
    <w:p w:rsidR="0012210E" w:rsidRDefault="0012210E" w:rsidP="0012210E">
      <w:pPr>
        <w:pStyle w:val="Paragraphedeliste"/>
        <w:numPr>
          <w:ilvl w:val="0"/>
          <w:numId w:val="1"/>
        </w:numPr>
        <w:bidi/>
        <w:spacing w:line="360" w:lineRule="auto"/>
        <w:jc w:val="both"/>
        <w:rPr>
          <w:rFonts w:ascii="Simplified Arabic" w:hAnsi="Simplified Arabic" w:cs="Simplified Arabic"/>
          <w:sz w:val="32"/>
          <w:szCs w:val="32"/>
          <w:lang w:bidi="ar-DZ"/>
        </w:rPr>
      </w:pPr>
    </w:p>
    <w:p w:rsidR="004A2766" w:rsidRPr="000E144C" w:rsidRDefault="004A2766" w:rsidP="008A5D2D">
      <w:pPr>
        <w:pStyle w:val="Paragraphedeliste"/>
        <w:numPr>
          <w:ilvl w:val="0"/>
          <w:numId w:val="2"/>
        </w:numPr>
        <w:bidi/>
        <w:spacing w:line="360" w:lineRule="auto"/>
        <w:jc w:val="both"/>
        <w:rPr>
          <w:rFonts w:ascii="Simplified Arabic" w:hAnsi="Simplified Arabic" w:cs="Simplified Arabic"/>
          <w:b/>
          <w:bCs/>
          <w:sz w:val="32"/>
          <w:szCs w:val="32"/>
          <w:lang w:bidi="ar-DZ"/>
        </w:rPr>
      </w:pPr>
      <w:r w:rsidRPr="000E144C">
        <w:rPr>
          <w:rFonts w:ascii="Simplified Arabic" w:hAnsi="Simplified Arabic" w:cs="Simplified Arabic" w:hint="cs"/>
          <w:b/>
          <w:bCs/>
          <w:sz w:val="32"/>
          <w:szCs w:val="32"/>
          <w:rtl/>
          <w:lang w:bidi="ar-DZ"/>
        </w:rPr>
        <w:lastRenderedPageBreak/>
        <w:t>الخطة:</w:t>
      </w:r>
    </w:p>
    <w:p w:rsidR="004A2766" w:rsidRDefault="004A2766" w:rsidP="008A5D2D">
      <w:pPr>
        <w:spacing w:line="360" w:lineRule="auto"/>
        <w:jc w:val="both"/>
        <w:rPr>
          <w:rtl/>
        </w:rPr>
      </w:pPr>
      <w:r w:rsidRPr="008E5318">
        <w:rPr>
          <w:rFonts w:hint="cs"/>
          <w:b/>
          <w:bCs/>
          <w:rtl/>
        </w:rPr>
        <w:t>الفصل الأول:</w:t>
      </w:r>
      <w:r>
        <w:rPr>
          <w:rFonts w:hint="cs"/>
          <w:rtl/>
        </w:rPr>
        <w:t xml:space="preserve"> القواعد العامة لنظام الصلح</w:t>
      </w:r>
    </w:p>
    <w:p w:rsidR="004A2766" w:rsidRDefault="004A2766" w:rsidP="008A5D2D">
      <w:pPr>
        <w:spacing w:line="360" w:lineRule="auto"/>
        <w:ind w:firstLine="708"/>
        <w:jc w:val="both"/>
        <w:rPr>
          <w:rtl/>
        </w:rPr>
      </w:pPr>
      <w:r>
        <w:rPr>
          <w:rFonts w:hint="cs"/>
          <w:rtl/>
        </w:rPr>
        <w:t xml:space="preserve">وذلك من خلال تبيان ماهيته وأركانه وخصائصه التي تميزه عن باقي العقود الأخرى، وكذا الآثار المترتبة عنه والإجراءات الواجبة </w:t>
      </w:r>
      <w:proofErr w:type="spellStart"/>
      <w:r>
        <w:rPr>
          <w:rFonts w:hint="cs"/>
          <w:rtl/>
        </w:rPr>
        <w:t>إتخاذها</w:t>
      </w:r>
      <w:proofErr w:type="spellEnd"/>
      <w:r>
        <w:rPr>
          <w:rFonts w:hint="cs"/>
          <w:rtl/>
        </w:rPr>
        <w:t xml:space="preserve"> أثناء السير فيه.</w:t>
      </w:r>
    </w:p>
    <w:p w:rsidR="004A2766" w:rsidRDefault="004A2766" w:rsidP="008A5D2D">
      <w:pPr>
        <w:spacing w:line="360" w:lineRule="auto"/>
        <w:jc w:val="both"/>
        <w:rPr>
          <w:rtl/>
        </w:rPr>
      </w:pPr>
      <w:r w:rsidRPr="008E5318">
        <w:rPr>
          <w:rFonts w:hint="cs"/>
          <w:b/>
          <w:bCs/>
          <w:rtl/>
        </w:rPr>
        <w:t>الفصل الثاني:</w:t>
      </w:r>
      <w:r>
        <w:rPr>
          <w:rFonts w:hint="cs"/>
          <w:rtl/>
        </w:rPr>
        <w:t xml:space="preserve"> الصلح في قضايا الأسرة</w:t>
      </w:r>
    </w:p>
    <w:p w:rsidR="004A2766" w:rsidRDefault="004A2766" w:rsidP="008A5D2D">
      <w:pPr>
        <w:spacing w:line="360" w:lineRule="auto"/>
        <w:ind w:firstLine="708"/>
        <w:jc w:val="both"/>
        <w:rPr>
          <w:rtl/>
        </w:rPr>
      </w:pPr>
      <w:r>
        <w:rPr>
          <w:rFonts w:hint="cs"/>
          <w:rtl/>
        </w:rPr>
        <w:t>سنوضح في هذا الفصل حالات تطبيق الصلح في قضايا الأسرة في حالة حدوث شقاق أو نشوز أو طلاق بين الزوجين.</w:t>
      </w:r>
    </w:p>
    <w:p w:rsidR="00596CFE" w:rsidRDefault="00596CFE" w:rsidP="008A5D2D">
      <w:pPr>
        <w:spacing w:line="360" w:lineRule="auto"/>
        <w:ind w:firstLine="708"/>
        <w:jc w:val="both"/>
        <w:rPr>
          <w:rtl/>
        </w:rPr>
        <w:sectPr w:rsidR="00596CFE" w:rsidSect="00562CF7">
          <w:headerReference w:type="default" r:id="rId15"/>
          <w:footerReference w:type="default" r:id="rId16"/>
          <w:pgSz w:w="11906" w:h="16838"/>
          <w:pgMar w:top="1134" w:right="1701" w:bottom="1134" w:left="1134" w:header="709" w:footer="709" w:gutter="0"/>
          <w:pgNumType w:fmt="arabicAbjad" w:start="1"/>
          <w:cols w:space="708"/>
          <w:bidi/>
          <w:rtlGutter/>
          <w:docGrid w:linePitch="435"/>
        </w:sectPr>
      </w:pPr>
    </w:p>
    <w:p w:rsidR="00746A38" w:rsidRDefault="00746A38" w:rsidP="008A5D2D">
      <w:pPr>
        <w:spacing w:after="0" w:line="240" w:lineRule="auto"/>
        <w:jc w:val="both"/>
        <w:rPr>
          <w:b/>
          <w:bCs/>
          <w:rtl/>
        </w:rPr>
      </w:pPr>
      <w:r>
        <w:rPr>
          <w:b/>
          <w:bCs/>
          <w:noProof/>
          <w:rtl/>
          <w:lang w:eastAsia="fr-FR" w:bidi="ar-SA"/>
        </w:rPr>
        <w:lastRenderedPageBreak/>
        <w:drawing>
          <wp:anchor distT="0" distB="0" distL="114300" distR="114300" simplePos="0" relativeHeight="251669504" behindDoc="0" locked="0" layoutInCell="1" allowOverlap="1">
            <wp:simplePos x="0" y="0"/>
            <wp:positionH relativeFrom="column">
              <wp:posOffset>-186690</wp:posOffset>
            </wp:positionH>
            <wp:positionV relativeFrom="paragraph">
              <wp:posOffset>99695</wp:posOffset>
            </wp:positionV>
            <wp:extent cx="5886450" cy="709930"/>
            <wp:effectExtent l="57150" t="0" r="304800" b="147320"/>
            <wp:wrapNone/>
            <wp:docPr id="5"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5886450"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746A38" w:rsidRDefault="00746A38" w:rsidP="008A5D2D">
      <w:pPr>
        <w:spacing w:after="0"/>
        <w:jc w:val="both"/>
        <w:rPr>
          <w:b/>
          <w:bCs/>
          <w:rtl/>
        </w:rPr>
      </w:pPr>
    </w:p>
    <w:p w:rsidR="00746A38" w:rsidRDefault="00BB7C56" w:rsidP="008A5D2D">
      <w:pPr>
        <w:tabs>
          <w:tab w:val="left" w:pos="3641"/>
        </w:tabs>
        <w:spacing w:before="240" w:after="0" w:line="240" w:lineRule="auto"/>
        <w:jc w:val="both"/>
        <w:rPr>
          <w:rFonts w:eastAsia="Calibri"/>
          <w:b/>
          <w:bCs/>
          <w:sz w:val="28"/>
          <w:szCs w:val="28"/>
          <w:rtl/>
        </w:rPr>
      </w:pPr>
      <w:r>
        <w:rPr>
          <w:rFonts w:asciiTheme="minorHAnsi" w:hAnsiTheme="minorHAnsi" w:cstheme="minorBidi"/>
          <w:noProof/>
          <w:sz w:val="22"/>
          <w:szCs w:val="22"/>
          <w:rtl/>
          <w:lang w:val="en-US" w:bidi="ar-SA"/>
        </w:rPr>
        <w:pict>
          <v:roundrect id="مستطيل مستدير الزوايا 6" o:spid="_x0000_s1031" style="position:absolute;left:0;text-align:left;margin-left:.3pt;margin-top:22.65pt;width:465.75pt;height:552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" fillcolor="white [3201]" strokecolor="black [3200]" strokeweight="5pt">
            <v:stroke linestyle="thickThin"/>
            <v:shadow color="#868686"/>
            <v:textbox>
              <w:txbxContent>
                <w:p w:rsidR="0012210E" w:rsidRDefault="0012210E" w:rsidP="000F23EA">
                  <w:pPr>
                    <w:spacing w:after="0" w:line="240" w:lineRule="auto"/>
                    <w:jc w:val="center"/>
                    <w:outlineLvl w:val="0"/>
                    <w:rPr>
                      <w:rFonts w:eastAsiaTheme="majorEastAsia"/>
                      <w:sz w:val="150"/>
                      <w:szCs w:val="150"/>
                      <w:rtl/>
                    </w:rPr>
                  </w:pPr>
                  <w:bookmarkStart w:id="4" w:name="_Toc461013573"/>
                  <w:r>
                    <w:rPr>
                      <w:rFonts w:eastAsiaTheme="majorEastAsia" w:hint="cs"/>
                      <w:sz w:val="150"/>
                      <w:szCs w:val="150"/>
                      <w:rtl/>
                    </w:rPr>
                    <w:t>الفصل الأول:</w:t>
                  </w:r>
                  <w:bookmarkEnd w:id="4"/>
                </w:p>
                <w:p w:rsidR="0012210E" w:rsidRPr="00CC7F44" w:rsidRDefault="0012210E" w:rsidP="000F23EA">
                  <w:pPr>
                    <w:spacing w:after="0" w:line="240" w:lineRule="auto"/>
                    <w:jc w:val="center"/>
                    <w:outlineLvl w:val="0"/>
                    <w:rPr>
                      <w:sz w:val="150"/>
                      <w:szCs w:val="150"/>
                      <w:rtl/>
                    </w:rPr>
                  </w:pPr>
                  <w:bookmarkStart w:id="5" w:name="_Toc461013574"/>
                  <w:r>
                    <w:rPr>
                      <w:rFonts w:eastAsiaTheme="majorEastAsia" w:hint="cs"/>
                      <w:sz w:val="150"/>
                      <w:szCs w:val="150"/>
                      <w:rtl/>
                    </w:rPr>
                    <w:t>قواعد عامة لنظام الصلح</w:t>
                  </w:r>
                  <w:bookmarkEnd w:id="5"/>
                </w:p>
              </w:txbxContent>
            </v:textbox>
          </v:roundrect>
        </w:pict>
      </w:r>
      <w:r w:rsidR="00746A38">
        <w:rPr>
          <w:rFonts w:eastAsia="Calibri"/>
          <w:b/>
          <w:bCs/>
          <w:sz w:val="28"/>
          <w:szCs w:val="28"/>
          <w:rtl/>
        </w:rPr>
        <w:tab/>
      </w: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1841"/>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tabs>
          <w:tab w:val="left" w:pos="2168"/>
        </w:tabs>
        <w:spacing w:before="240" w:after="0" w:line="240" w:lineRule="auto"/>
        <w:jc w:val="both"/>
        <w:rPr>
          <w:rFonts w:eastAsia="Calibri"/>
          <w:b/>
          <w:bCs/>
          <w:sz w:val="28"/>
          <w:szCs w:val="28"/>
          <w:rtl/>
        </w:rPr>
      </w:pPr>
    </w:p>
    <w:p w:rsidR="00746A38" w:rsidRPr="002804B8" w:rsidRDefault="00746A38" w:rsidP="008A5D2D">
      <w:pPr>
        <w:spacing w:after="0" w:line="240" w:lineRule="auto"/>
        <w:jc w:val="both"/>
        <w:rPr>
          <w:b/>
          <w:bCs/>
          <w:rtl/>
        </w:rPr>
      </w:pPr>
    </w:p>
    <w:p w:rsidR="00746A38" w:rsidRPr="002804B8" w:rsidRDefault="00746A38" w:rsidP="008A5D2D">
      <w:pPr>
        <w:spacing w:after="0" w:line="240" w:lineRule="auto"/>
        <w:jc w:val="both"/>
        <w:rPr>
          <w:b/>
          <w:bCs/>
          <w:rtl/>
        </w:rPr>
      </w:pPr>
    </w:p>
    <w:p w:rsidR="00746A38" w:rsidRPr="002804B8" w:rsidRDefault="00746A38" w:rsidP="008A5D2D">
      <w:pPr>
        <w:spacing w:after="0" w:line="240" w:lineRule="auto"/>
        <w:jc w:val="both"/>
        <w:rPr>
          <w:b/>
          <w:bCs/>
          <w:rtl/>
        </w:rPr>
      </w:pPr>
    </w:p>
    <w:p w:rsidR="00746A38" w:rsidRDefault="00746A38" w:rsidP="008A5D2D">
      <w:pPr>
        <w:spacing w:after="0" w:line="240" w:lineRule="auto"/>
        <w:jc w:val="both"/>
        <w:rPr>
          <w:b/>
          <w:bCs/>
          <w:rtl/>
        </w:rPr>
      </w:pPr>
    </w:p>
    <w:p w:rsidR="00746A38" w:rsidRDefault="00746A38" w:rsidP="008A5D2D">
      <w:pPr>
        <w:spacing w:after="0" w:line="240" w:lineRule="auto"/>
        <w:jc w:val="both"/>
        <w:rPr>
          <w:b/>
          <w:bCs/>
          <w:rtl/>
        </w:rPr>
      </w:pPr>
    </w:p>
    <w:p w:rsidR="00746A38" w:rsidRPr="002804B8" w:rsidRDefault="00746A38" w:rsidP="008A5D2D">
      <w:pPr>
        <w:spacing w:after="0" w:line="240" w:lineRule="auto"/>
        <w:jc w:val="both"/>
        <w:rPr>
          <w:b/>
          <w:bCs/>
          <w:rtl/>
        </w:rPr>
      </w:pPr>
    </w:p>
    <w:p w:rsidR="00746A38" w:rsidRPr="002804B8" w:rsidRDefault="00746A38" w:rsidP="008A5D2D">
      <w:pPr>
        <w:spacing w:after="0" w:line="240" w:lineRule="auto"/>
        <w:jc w:val="both"/>
        <w:rPr>
          <w:b/>
          <w:bCs/>
          <w:rtl/>
        </w:rPr>
      </w:pPr>
    </w:p>
    <w:p w:rsidR="00746A38" w:rsidRPr="005E4187" w:rsidRDefault="00746A38" w:rsidP="008A5D2D">
      <w:pPr>
        <w:spacing w:after="0" w:line="240" w:lineRule="auto"/>
        <w:jc w:val="both"/>
      </w:pPr>
      <w:r>
        <w:rPr>
          <w:noProof/>
          <w:lang w:eastAsia="fr-FR" w:bidi="ar-SA"/>
        </w:rPr>
        <w:drawing>
          <wp:anchor distT="0" distB="0" distL="114300" distR="114300" simplePos="0" relativeHeight="251668480" behindDoc="0" locked="0" layoutInCell="1" allowOverlap="1">
            <wp:simplePos x="0" y="0"/>
            <wp:positionH relativeFrom="column">
              <wp:posOffset>-81915</wp:posOffset>
            </wp:positionH>
            <wp:positionV relativeFrom="paragraph">
              <wp:posOffset>596265</wp:posOffset>
            </wp:positionV>
            <wp:extent cx="6296025" cy="714375"/>
            <wp:effectExtent l="114300" t="0" r="295275" b="123825"/>
            <wp:wrapNone/>
            <wp:docPr id="3"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6296025" cy="714375"/>
                    </a:xfrm>
                    <a:prstGeom prst="rect">
                      <a:avLst/>
                    </a:prstGeom>
                    <a:ln>
                      <a:noFill/>
                    </a:ln>
                    <a:effectLst>
                      <a:outerShdw blurRad="292100" dist="139700" dir="2700000" algn="tl" rotWithShape="0">
                        <a:srgbClr val="333333">
                          <a:alpha val="65000"/>
                        </a:srgbClr>
                      </a:outerShdw>
                    </a:effectLst>
                  </pic:spPr>
                </pic:pic>
              </a:graphicData>
            </a:graphic>
          </wp:anchor>
        </w:drawing>
      </w:r>
    </w:p>
    <w:p w:rsidR="00746A38" w:rsidRDefault="00746A38" w:rsidP="008A5D2D">
      <w:pPr>
        <w:spacing w:line="360" w:lineRule="auto"/>
        <w:ind w:firstLine="708"/>
        <w:jc w:val="both"/>
        <w:rPr>
          <w:rtl/>
        </w:rPr>
        <w:sectPr w:rsidR="00746A38" w:rsidSect="004A2766">
          <w:headerReference w:type="default" r:id="rId17"/>
          <w:footerReference w:type="default" r:id="rId18"/>
          <w:pgSz w:w="11906" w:h="16838"/>
          <w:pgMar w:top="1134" w:right="1701" w:bottom="1134" w:left="1134" w:header="709" w:footer="709" w:gutter="0"/>
          <w:cols w:space="708"/>
          <w:bidi/>
          <w:rtlGutter/>
          <w:docGrid w:linePitch="435"/>
        </w:sectPr>
      </w:pPr>
    </w:p>
    <w:p w:rsidR="00562CF7" w:rsidRDefault="00562CF7" w:rsidP="008A5D2D">
      <w:pPr>
        <w:spacing w:after="0" w:line="360" w:lineRule="auto"/>
        <w:ind w:firstLine="566"/>
        <w:jc w:val="both"/>
        <w:rPr>
          <w:rtl/>
        </w:rPr>
      </w:pPr>
      <w:r>
        <w:rPr>
          <w:rFonts w:hint="cs"/>
          <w:rtl/>
        </w:rPr>
        <w:lastRenderedPageBreak/>
        <w:t xml:space="preserve">قد يتوقى الخصوم النزاعات التي تحدث بينهم وذلك بإنهائها بالصلح بينهم، مما ينتج عنه تخفيف العبء بينهم وربح الوقت والتكاليف، كذلك لتفادي الإجراءات والتعقيدات التي </w:t>
      </w:r>
      <w:proofErr w:type="spellStart"/>
      <w:r>
        <w:rPr>
          <w:rFonts w:hint="cs"/>
          <w:rtl/>
        </w:rPr>
        <w:t>تتطلبها</w:t>
      </w:r>
      <w:proofErr w:type="spellEnd"/>
      <w:r>
        <w:rPr>
          <w:rFonts w:hint="cs"/>
          <w:rtl/>
        </w:rPr>
        <w:t xml:space="preserve"> الدعوى، فالصلح يصون العلاقات الاجتماعية التي تربط بين الأفراد وخاصة منها أفراد الأسرة.</w:t>
      </w:r>
    </w:p>
    <w:p w:rsidR="00562CF7" w:rsidRDefault="00562CF7" w:rsidP="008A5D2D">
      <w:pPr>
        <w:spacing w:after="0" w:line="360" w:lineRule="auto"/>
        <w:ind w:firstLine="566"/>
        <w:jc w:val="both"/>
        <w:rPr>
          <w:rtl/>
        </w:rPr>
      </w:pPr>
      <w:r>
        <w:rPr>
          <w:rFonts w:hint="cs"/>
          <w:rtl/>
        </w:rPr>
        <w:t>لذا سنتطرق في هذا الفصل الى القواعد العامة التي تحكم نظام الصلح وذلك من خلال تبيين ماهيته أولا وأركانه ثانيا وخصائصه ثالثا ومعرفة إجراءاته رابعا وكذا الآثار المترتبة عنه.</w:t>
      </w:r>
    </w:p>
    <w:p w:rsidR="00562CF7" w:rsidRDefault="00562CF7" w:rsidP="008A5D2D">
      <w:pPr>
        <w:spacing w:after="0" w:line="360" w:lineRule="auto"/>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ind w:firstLine="566"/>
        <w:jc w:val="both"/>
        <w:rPr>
          <w:rtl/>
        </w:rPr>
      </w:pPr>
    </w:p>
    <w:p w:rsidR="00562CF7" w:rsidRDefault="00562CF7" w:rsidP="008A5D2D">
      <w:pPr>
        <w:spacing w:after="0" w:line="360" w:lineRule="auto"/>
        <w:jc w:val="both"/>
        <w:rPr>
          <w:b/>
          <w:bCs/>
        </w:rPr>
      </w:pPr>
    </w:p>
    <w:p w:rsidR="00562CF7" w:rsidRDefault="00562CF7" w:rsidP="008A5D2D">
      <w:pPr>
        <w:spacing w:after="0" w:line="360" w:lineRule="auto"/>
        <w:ind w:firstLine="567"/>
        <w:jc w:val="both"/>
        <w:outlineLvl w:val="0"/>
        <w:rPr>
          <w:rtl/>
        </w:rPr>
      </w:pPr>
      <w:bookmarkStart w:id="6" w:name="_Toc461013575"/>
      <w:r>
        <w:rPr>
          <w:rFonts w:hint="cs"/>
          <w:b/>
          <w:bCs/>
          <w:rtl/>
        </w:rPr>
        <w:lastRenderedPageBreak/>
        <w:t>المبحث الأول</w:t>
      </w:r>
      <w:r>
        <w:rPr>
          <w:rFonts w:hint="cs"/>
          <w:rtl/>
        </w:rPr>
        <w:t>: ماهية الصلح</w:t>
      </w:r>
      <w:bookmarkEnd w:id="6"/>
    </w:p>
    <w:p w:rsidR="00562CF7" w:rsidRDefault="00562CF7" w:rsidP="008A5D2D">
      <w:pPr>
        <w:spacing w:after="0" w:line="360" w:lineRule="auto"/>
        <w:ind w:firstLine="566"/>
        <w:jc w:val="both"/>
        <w:rPr>
          <w:rtl/>
        </w:rPr>
      </w:pPr>
      <w:r>
        <w:rPr>
          <w:rFonts w:hint="cs"/>
          <w:rtl/>
        </w:rPr>
        <w:t>يعتبر الصلح من أنجح السبل والطرق لتحقيق مسعى الاتفاق بين المتخاصمين، لذا سنتطرق في هذا المبحث لتعريفه ومصدر مشروعيته وكذا شروطه.</w:t>
      </w:r>
    </w:p>
    <w:p w:rsidR="00562CF7" w:rsidRDefault="00562CF7" w:rsidP="008A5D2D">
      <w:pPr>
        <w:spacing w:after="0" w:line="360" w:lineRule="auto"/>
        <w:ind w:firstLine="567"/>
        <w:jc w:val="both"/>
        <w:outlineLvl w:val="1"/>
        <w:rPr>
          <w:rtl/>
        </w:rPr>
      </w:pPr>
      <w:bookmarkStart w:id="7" w:name="_Toc461013576"/>
      <w:r>
        <w:rPr>
          <w:rFonts w:hint="cs"/>
          <w:b/>
          <w:bCs/>
          <w:rtl/>
        </w:rPr>
        <w:t>المطلب الأول</w:t>
      </w:r>
      <w:r>
        <w:rPr>
          <w:rFonts w:hint="cs"/>
          <w:rtl/>
        </w:rPr>
        <w:t>: تعريف الصلح</w:t>
      </w:r>
      <w:bookmarkEnd w:id="7"/>
    </w:p>
    <w:p w:rsidR="00562CF7" w:rsidRDefault="00562CF7" w:rsidP="008A5D2D">
      <w:pPr>
        <w:spacing w:after="0" w:line="360" w:lineRule="auto"/>
        <w:ind w:firstLine="566"/>
        <w:jc w:val="both"/>
        <w:rPr>
          <w:rtl/>
        </w:rPr>
      </w:pPr>
      <w:r>
        <w:rPr>
          <w:rFonts w:hint="cs"/>
          <w:rtl/>
        </w:rPr>
        <w:t xml:space="preserve">إن وضع تعريف لعقد الصلح لا يكون إلا بالإلمام بما جاء في </w:t>
      </w:r>
      <w:proofErr w:type="spellStart"/>
      <w:r>
        <w:rPr>
          <w:rFonts w:hint="cs"/>
          <w:rtl/>
        </w:rPr>
        <w:t>الإجتهادات</w:t>
      </w:r>
      <w:proofErr w:type="spellEnd"/>
      <w:r>
        <w:rPr>
          <w:rFonts w:hint="cs"/>
          <w:rtl/>
        </w:rPr>
        <w:t xml:space="preserve"> القضائية وآراء الفقها وكذا القانون وهذا ما سيأتي بيانه في هذا المطلب.</w:t>
      </w:r>
    </w:p>
    <w:p w:rsidR="008A5D2D" w:rsidRDefault="00562CF7" w:rsidP="008A5D2D">
      <w:pPr>
        <w:spacing w:after="0" w:line="360" w:lineRule="auto"/>
        <w:ind w:firstLine="567"/>
        <w:jc w:val="both"/>
        <w:outlineLvl w:val="2"/>
        <w:rPr>
          <w:rtl/>
        </w:rPr>
      </w:pPr>
      <w:bookmarkStart w:id="8" w:name="_Toc461013577"/>
      <w:r>
        <w:rPr>
          <w:rFonts w:hint="cs"/>
          <w:b/>
          <w:bCs/>
          <w:rtl/>
        </w:rPr>
        <w:t>الفرع الأول</w:t>
      </w:r>
      <w:r>
        <w:rPr>
          <w:rFonts w:hint="cs"/>
          <w:rtl/>
        </w:rPr>
        <w:t>: لغة</w:t>
      </w:r>
      <w:bookmarkEnd w:id="8"/>
    </w:p>
    <w:p w:rsidR="00562CF7" w:rsidRDefault="00562CF7" w:rsidP="008A5D2D">
      <w:pPr>
        <w:spacing w:after="0" w:line="360" w:lineRule="auto"/>
        <w:ind w:firstLine="566"/>
        <w:jc w:val="both"/>
        <w:rPr>
          <w:rtl/>
        </w:rPr>
      </w:pPr>
      <w:r>
        <w:rPr>
          <w:rFonts w:hint="cs"/>
          <w:rtl/>
        </w:rPr>
        <w:t xml:space="preserve">تصالح القوم بينهم </w:t>
      </w:r>
      <w:r w:rsidRPr="006629CF">
        <w:rPr>
          <w:rFonts w:hint="cs"/>
          <w:rtl/>
        </w:rPr>
        <w:t>إذا تسالموا</w:t>
      </w:r>
      <w:r>
        <w:rPr>
          <w:rFonts w:hint="cs"/>
          <w:rtl/>
        </w:rPr>
        <w:t>، والصلاح نقيض الفساد، والإصلاح نقيض الإفساد ورجل صالح مصلح، والصالح في نفسه، المصلح بأعماله وأموره، والصلاح بمعنى المصالحة</w:t>
      </w:r>
      <w:r>
        <w:rPr>
          <w:rStyle w:val="Appelnotedebasdep"/>
          <w:rtl/>
        </w:rPr>
        <w:footnoteReference w:id="1"/>
      </w:r>
      <w:r>
        <w:rPr>
          <w:rFonts w:hint="cs"/>
          <w:rtl/>
        </w:rPr>
        <w:t>.</w:t>
      </w:r>
    </w:p>
    <w:p w:rsidR="00562CF7" w:rsidRDefault="00562CF7" w:rsidP="008A5D2D">
      <w:pPr>
        <w:spacing w:after="0" w:line="360" w:lineRule="auto"/>
        <w:ind w:firstLine="566"/>
        <w:jc w:val="both"/>
        <w:rPr>
          <w:rtl/>
        </w:rPr>
      </w:pPr>
      <w:r>
        <w:rPr>
          <w:rFonts w:hint="cs"/>
          <w:rtl/>
        </w:rPr>
        <w:t>فمعنى الصلح: السلم وصفاء المعاملة.</w:t>
      </w:r>
    </w:p>
    <w:p w:rsidR="00562CF7" w:rsidRDefault="00562CF7" w:rsidP="008A5D2D">
      <w:pPr>
        <w:spacing w:after="0" w:line="360" w:lineRule="auto"/>
        <w:ind w:firstLine="567"/>
        <w:jc w:val="both"/>
        <w:outlineLvl w:val="2"/>
        <w:rPr>
          <w:rtl/>
        </w:rPr>
      </w:pPr>
      <w:bookmarkStart w:id="9" w:name="_Toc461013578"/>
      <w:r w:rsidRPr="004843E8">
        <w:rPr>
          <w:rFonts w:hint="cs"/>
          <w:b/>
          <w:bCs/>
          <w:rtl/>
        </w:rPr>
        <w:t>الفرع الثاني</w:t>
      </w:r>
      <w:r>
        <w:rPr>
          <w:rFonts w:hint="cs"/>
          <w:rtl/>
        </w:rPr>
        <w:t>: شرعاً</w:t>
      </w:r>
      <w:bookmarkEnd w:id="9"/>
    </w:p>
    <w:p w:rsidR="00562CF7" w:rsidRDefault="00562CF7" w:rsidP="008A5D2D">
      <w:pPr>
        <w:spacing w:after="0" w:line="360" w:lineRule="auto"/>
        <w:ind w:firstLine="566"/>
        <w:jc w:val="both"/>
        <w:rPr>
          <w:rtl/>
        </w:rPr>
      </w:pPr>
      <w:r>
        <w:rPr>
          <w:rFonts w:hint="cs"/>
          <w:rtl/>
        </w:rPr>
        <w:t>عرف فقهاء الشريعة الصلح بما يلي:</w:t>
      </w:r>
    </w:p>
    <w:p w:rsidR="00562CF7" w:rsidRDefault="00562CF7" w:rsidP="008A5D2D">
      <w:pPr>
        <w:spacing w:after="0" w:line="360" w:lineRule="auto"/>
        <w:ind w:firstLine="566"/>
        <w:jc w:val="both"/>
        <w:rPr>
          <w:rtl/>
        </w:rPr>
      </w:pPr>
      <w:r>
        <w:rPr>
          <w:rFonts w:hint="cs"/>
          <w:rtl/>
        </w:rPr>
        <w:t>- الفقه الحنفي: "عقد يرفع النزاع بالتراضي بين الطرفين"</w:t>
      </w:r>
      <w:r>
        <w:rPr>
          <w:rStyle w:val="Appelnotedebasdep"/>
          <w:rtl/>
        </w:rPr>
        <w:footnoteReference w:id="2"/>
      </w:r>
      <w:r>
        <w:rPr>
          <w:rFonts w:hint="cs"/>
          <w:rtl/>
        </w:rPr>
        <w:t xml:space="preserve">. </w:t>
      </w:r>
    </w:p>
    <w:p w:rsidR="00562CF7" w:rsidRDefault="00562CF7" w:rsidP="008A5D2D">
      <w:pPr>
        <w:spacing w:after="0" w:line="360" w:lineRule="auto"/>
        <w:ind w:firstLine="566"/>
        <w:jc w:val="both"/>
        <w:rPr>
          <w:rtl/>
        </w:rPr>
      </w:pPr>
      <w:r>
        <w:rPr>
          <w:rFonts w:hint="cs"/>
          <w:rtl/>
        </w:rPr>
        <w:t>- الفقه المالكي: "انتقال عن حق أو دعوى بعوض لرفع نزاع أو خوف وقوعه"</w:t>
      </w:r>
      <w:r>
        <w:rPr>
          <w:rStyle w:val="Appelnotedebasdep"/>
          <w:rtl/>
        </w:rPr>
        <w:footnoteReference w:id="3"/>
      </w:r>
      <w:r>
        <w:rPr>
          <w:rFonts w:hint="cs"/>
          <w:rtl/>
        </w:rPr>
        <w:t>.</w:t>
      </w:r>
    </w:p>
    <w:p w:rsidR="00562CF7" w:rsidRDefault="00562CF7" w:rsidP="008A5D2D">
      <w:pPr>
        <w:spacing w:after="0" w:line="360" w:lineRule="auto"/>
        <w:ind w:firstLine="566"/>
        <w:jc w:val="both"/>
        <w:rPr>
          <w:rtl/>
        </w:rPr>
      </w:pPr>
      <w:r>
        <w:rPr>
          <w:rFonts w:hint="cs"/>
          <w:rtl/>
        </w:rPr>
        <w:lastRenderedPageBreak/>
        <w:t>- الفقه الشافعي: "عقد تنقطع به خصومات المتخاصمين، أي عقد يقطع به النزاع"</w:t>
      </w:r>
      <w:r>
        <w:rPr>
          <w:rStyle w:val="Appelnotedebasdep"/>
          <w:rtl/>
        </w:rPr>
        <w:footnoteReference w:id="4"/>
      </w:r>
      <w:r>
        <w:rPr>
          <w:rFonts w:hint="cs"/>
          <w:rtl/>
        </w:rPr>
        <w:t>.</w:t>
      </w:r>
    </w:p>
    <w:p w:rsidR="00562CF7" w:rsidRDefault="00562CF7" w:rsidP="008A5D2D">
      <w:pPr>
        <w:spacing w:after="0" w:line="360" w:lineRule="auto"/>
        <w:ind w:firstLine="566"/>
        <w:jc w:val="both"/>
        <w:rPr>
          <w:rtl/>
        </w:rPr>
      </w:pPr>
      <w:r>
        <w:rPr>
          <w:rFonts w:hint="cs"/>
          <w:rtl/>
        </w:rPr>
        <w:t>فالصلح قطع النزاع وشرعاً عقد يحصل به ذلك</w:t>
      </w:r>
      <w:r>
        <w:rPr>
          <w:rStyle w:val="Appelnotedebasdep"/>
          <w:rtl/>
        </w:rPr>
        <w:footnoteReference w:id="5"/>
      </w:r>
      <w:r>
        <w:rPr>
          <w:rFonts w:hint="cs"/>
          <w:rtl/>
        </w:rPr>
        <w:t>.</w:t>
      </w:r>
    </w:p>
    <w:p w:rsidR="00562CF7" w:rsidRDefault="00562CF7" w:rsidP="008A5D2D">
      <w:pPr>
        <w:spacing w:after="0" w:line="360" w:lineRule="auto"/>
        <w:ind w:firstLine="566"/>
        <w:jc w:val="both"/>
      </w:pPr>
      <w:r>
        <w:rPr>
          <w:rFonts w:hint="cs"/>
          <w:rtl/>
        </w:rPr>
        <w:t>- الفقه الحنبلي: "معاقدة يتوصل بها إلى إصلاح بين مختلفين، قال ابن رزين في شرحه هو الموافقة بعد المنازعة"</w:t>
      </w:r>
      <w:r>
        <w:t>.</w:t>
      </w:r>
      <w:r w:rsidR="0012210E">
        <w:rPr>
          <w:rStyle w:val="Appelnotedebasdep"/>
        </w:rPr>
        <w:footnoteReference w:id="6"/>
      </w:r>
    </w:p>
    <w:p w:rsidR="00562CF7" w:rsidRDefault="00562CF7" w:rsidP="008A5D2D">
      <w:pPr>
        <w:spacing w:after="0" w:line="360" w:lineRule="auto"/>
        <w:ind w:firstLine="566"/>
        <w:jc w:val="both"/>
        <w:rPr>
          <w:rtl/>
        </w:rPr>
      </w:pPr>
      <w:r>
        <w:rPr>
          <w:rFonts w:hint="cs"/>
          <w:rtl/>
        </w:rPr>
        <w:t>الراجح من هذه التعاريف الشرعية لعقد الصلح هو التعريف الحنفي لأنه جامع وشامل لتعريف الصلح وكذا أحوط وأعم من تعاريف المذاهب الأخرى.</w:t>
      </w:r>
    </w:p>
    <w:p w:rsidR="00562CF7" w:rsidRDefault="00562CF7" w:rsidP="008A5D2D">
      <w:pPr>
        <w:spacing w:after="0" w:line="360" w:lineRule="auto"/>
        <w:ind w:firstLine="567"/>
        <w:jc w:val="both"/>
        <w:outlineLvl w:val="2"/>
        <w:rPr>
          <w:rtl/>
        </w:rPr>
      </w:pPr>
      <w:bookmarkStart w:id="10" w:name="_Toc461013579"/>
      <w:r>
        <w:rPr>
          <w:rFonts w:hint="cs"/>
          <w:b/>
          <w:bCs/>
          <w:rtl/>
        </w:rPr>
        <w:t>الفرع الثالث</w:t>
      </w:r>
      <w:r>
        <w:rPr>
          <w:rFonts w:hint="cs"/>
          <w:rtl/>
        </w:rPr>
        <w:t>: قانوناً</w:t>
      </w:r>
      <w:bookmarkEnd w:id="10"/>
    </w:p>
    <w:p w:rsidR="00562CF7" w:rsidRDefault="00562CF7" w:rsidP="008A5D2D">
      <w:pPr>
        <w:spacing w:after="0" w:line="360" w:lineRule="auto"/>
        <w:ind w:firstLine="566"/>
        <w:jc w:val="both"/>
        <w:rPr>
          <w:rtl/>
        </w:rPr>
      </w:pPr>
      <w:r>
        <w:rPr>
          <w:rFonts w:hint="cs"/>
          <w:rtl/>
        </w:rPr>
        <w:t>عرف المشرع الجزائري الصلح في المادة 459 من القانون المدني: "الصلح عقد ينهي به الطرفان نزاعاً قائماً ويتوقيان به نزاعاً محتملاً، وذلك بأن يتنازل كل منهما على وجه التبادل عن حقه"</w:t>
      </w:r>
      <w:r>
        <w:rPr>
          <w:rStyle w:val="Appelnotedebasdep"/>
          <w:rtl/>
        </w:rPr>
        <w:footnoteReference w:id="7"/>
      </w:r>
      <w:r>
        <w:rPr>
          <w:rFonts w:hint="cs"/>
          <w:rtl/>
        </w:rPr>
        <w:t>.</w:t>
      </w:r>
    </w:p>
    <w:p w:rsidR="00562CF7" w:rsidRDefault="00562CF7" w:rsidP="008A5D2D">
      <w:pPr>
        <w:spacing w:after="0" w:line="360" w:lineRule="auto"/>
        <w:ind w:firstLine="566"/>
        <w:jc w:val="both"/>
        <w:rPr>
          <w:rtl/>
        </w:rPr>
      </w:pPr>
      <w:r>
        <w:rPr>
          <w:rFonts w:hint="cs"/>
          <w:rtl/>
        </w:rPr>
        <w:t>ويظهر على هذا التعريف عدة ملاحظات منها:</w:t>
      </w:r>
    </w:p>
    <w:p w:rsidR="00562CF7" w:rsidRDefault="00562CF7" w:rsidP="008A5D2D">
      <w:pPr>
        <w:spacing w:after="0" w:line="360" w:lineRule="auto"/>
        <w:ind w:firstLine="566"/>
        <w:jc w:val="both"/>
        <w:rPr>
          <w:rtl/>
        </w:rPr>
      </w:pPr>
      <w:r>
        <w:rPr>
          <w:rFonts w:hint="cs"/>
          <w:rtl/>
        </w:rPr>
        <w:lastRenderedPageBreak/>
        <w:t xml:space="preserve">- كلمة </w:t>
      </w:r>
      <w:r>
        <w:rPr>
          <w:rFonts w:hint="cs"/>
          <w:b/>
          <w:bCs/>
          <w:rtl/>
        </w:rPr>
        <w:t>"</w:t>
      </w:r>
      <w:r w:rsidRPr="004843E8">
        <w:rPr>
          <w:rFonts w:hint="cs"/>
          <w:b/>
          <w:bCs/>
          <w:rtl/>
        </w:rPr>
        <w:t>ينهي</w:t>
      </w:r>
      <w:r>
        <w:rPr>
          <w:rFonts w:hint="cs"/>
          <w:b/>
          <w:bCs/>
          <w:rtl/>
        </w:rPr>
        <w:t xml:space="preserve">" </w:t>
      </w:r>
      <w:r w:rsidRPr="004843E8">
        <w:rPr>
          <w:rFonts w:hint="cs"/>
          <w:rtl/>
        </w:rPr>
        <w:t>كان من الأفضل أن يستعمل كلمة</w:t>
      </w:r>
      <w:r>
        <w:rPr>
          <w:rFonts w:hint="cs"/>
          <w:rtl/>
        </w:rPr>
        <w:t xml:space="preserve"> "</w:t>
      </w:r>
      <w:r w:rsidRPr="004843E8">
        <w:rPr>
          <w:rFonts w:hint="cs"/>
          <w:b/>
          <w:bCs/>
          <w:rtl/>
        </w:rPr>
        <w:t>يحسم</w:t>
      </w:r>
      <w:r>
        <w:rPr>
          <w:rFonts w:hint="cs"/>
          <w:rtl/>
        </w:rPr>
        <w:t>" لأنه يفيد وجود نزاع إما ماضي أو مستقبلي، ويفيد عدم العودة إليه بعد إبرام الصلح.</w:t>
      </w:r>
    </w:p>
    <w:p w:rsidR="00562CF7" w:rsidRDefault="00562CF7" w:rsidP="008A5D2D">
      <w:pPr>
        <w:spacing w:after="0" w:line="360" w:lineRule="auto"/>
        <w:ind w:firstLine="566"/>
        <w:jc w:val="both"/>
        <w:rPr>
          <w:rtl/>
        </w:rPr>
      </w:pPr>
      <w:r>
        <w:rPr>
          <w:rFonts w:hint="cs"/>
          <w:rtl/>
        </w:rPr>
        <w:t>- كذلك كلمة "</w:t>
      </w:r>
      <w:r w:rsidRPr="004843E8">
        <w:rPr>
          <w:rFonts w:hint="cs"/>
          <w:b/>
          <w:bCs/>
          <w:rtl/>
        </w:rPr>
        <w:t>عن حقه</w:t>
      </w:r>
      <w:r>
        <w:rPr>
          <w:rFonts w:hint="cs"/>
          <w:rtl/>
        </w:rPr>
        <w:t>"، فقد رتب الصلح في التنازل عن كل حقه، فإنه لا يمكن تصور تنازل كلي عن الحقوق، بل إن التنازل ينصب عن جزء منها فقط.</w:t>
      </w:r>
    </w:p>
    <w:p w:rsidR="00562CF7" w:rsidRDefault="00562CF7" w:rsidP="008A5D2D">
      <w:pPr>
        <w:spacing w:after="0" w:line="360" w:lineRule="auto"/>
        <w:ind w:firstLine="567"/>
        <w:jc w:val="both"/>
        <w:outlineLvl w:val="1"/>
        <w:rPr>
          <w:rtl/>
        </w:rPr>
      </w:pPr>
      <w:bookmarkStart w:id="11" w:name="_Toc461013580"/>
      <w:r>
        <w:rPr>
          <w:rFonts w:hint="cs"/>
          <w:b/>
          <w:bCs/>
          <w:rtl/>
        </w:rPr>
        <w:t>المطلب الثاني</w:t>
      </w:r>
      <w:r>
        <w:rPr>
          <w:rFonts w:hint="cs"/>
          <w:rtl/>
        </w:rPr>
        <w:t>: مصدر مشروعية الصلح</w:t>
      </w:r>
      <w:bookmarkEnd w:id="11"/>
    </w:p>
    <w:p w:rsidR="00562CF7" w:rsidRDefault="00562CF7" w:rsidP="008A5D2D">
      <w:pPr>
        <w:spacing w:after="0" w:line="360" w:lineRule="auto"/>
        <w:ind w:firstLine="566"/>
        <w:jc w:val="both"/>
        <w:rPr>
          <w:rtl/>
        </w:rPr>
      </w:pPr>
      <w:r>
        <w:rPr>
          <w:rFonts w:hint="cs"/>
          <w:rtl/>
        </w:rPr>
        <w:t>دل على مشروعية الصلح القرآن الكريم والسنة النبوية وإجماع الفقهاء وهذا ما سيتم توضيحه.</w:t>
      </w:r>
    </w:p>
    <w:p w:rsidR="00562CF7" w:rsidRDefault="00562CF7" w:rsidP="008A5D2D">
      <w:pPr>
        <w:spacing w:after="0" w:line="360" w:lineRule="auto"/>
        <w:ind w:firstLine="567"/>
        <w:jc w:val="both"/>
        <w:outlineLvl w:val="2"/>
        <w:rPr>
          <w:rtl/>
        </w:rPr>
      </w:pPr>
      <w:bookmarkStart w:id="12" w:name="_Toc461013581"/>
      <w:r>
        <w:rPr>
          <w:rFonts w:hint="cs"/>
          <w:b/>
          <w:bCs/>
          <w:rtl/>
        </w:rPr>
        <w:t>الفرع الأول</w:t>
      </w:r>
      <w:r>
        <w:rPr>
          <w:rFonts w:hint="cs"/>
          <w:rtl/>
        </w:rPr>
        <w:t>: القرآن الكريم</w:t>
      </w:r>
      <w:bookmarkEnd w:id="12"/>
    </w:p>
    <w:p w:rsidR="00562CF7" w:rsidRDefault="00562CF7" w:rsidP="008A5D2D">
      <w:pPr>
        <w:spacing w:after="0" w:line="360" w:lineRule="auto"/>
        <w:ind w:firstLine="566"/>
        <w:jc w:val="both"/>
        <w:rPr>
          <w:rtl/>
        </w:rPr>
      </w:pPr>
      <w:r>
        <w:rPr>
          <w:rFonts w:hint="cs"/>
          <w:rtl/>
        </w:rPr>
        <w:t>قال تعالى: "</w:t>
      </w:r>
      <w:r w:rsidRPr="008C0FB1">
        <w:rPr>
          <w:rFonts w:ascii="Traditional Arabic" w:hAnsi="Traditional Arabic" w:cs="Traditional Arabic"/>
          <w:rtl/>
        </w:rPr>
        <w:t>وَإِنِ امْرَأَةٌ خَافَتْ مِن بَعْلِهَا نُشُوزاً أَوْ إِعْرَاضاً فَلاَ جُنَاْحَ عَلَيْهِمَا أَن يُصْلِحَا بَيْنَهُمَا صُلْحاً وَالصُّلْحُ خَيْرٌ وَأُحْضِرَتِ الأَنفُسُ الشُّحَّ وَإِن تُحْسِنُواْ وَتَتَّقُواْ فَإِنَّ اللّهَ كَانَ بِمَا تَعْمَلُونَ خَبِيراً</w:t>
      </w:r>
      <w:r>
        <w:rPr>
          <w:rFonts w:hint="cs"/>
          <w:rtl/>
        </w:rPr>
        <w:t>"</w:t>
      </w:r>
      <w:r>
        <w:rPr>
          <w:rStyle w:val="Appelnotedebasdep"/>
          <w:rtl/>
        </w:rPr>
        <w:footnoteReference w:id="8"/>
      </w:r>
      <w:r>
        <w:rPr>
          <w:rFonts w:hint="cs"/>
          <w:rtl/>
        </w:rPr>
        <w:t>.</w:t>
      </w:r>
    </w:p>
    <w:p w:rsidR="00562CF7" w:rsidRPr="00EE5372" w:rsidRDefault="00562CF7" w:rsidP="008A5D2D">
      <w:pPr>
        <w:spacing w:after="0" w:line="360" w:lineRule="auto"/>
        <w:ind w:firstLine="566"/>
        <w:jc w:val="both"/>
        <w:rPr>
          <w:rtl/>
        </w:rPr>
      </w:pPr>
      <w:r w:rsidRPr="00EE5372">
        <w:rPr>
          <w:color w:val="000000"/>
          <w:rtl/>
        </w:rPr>
        <w:t>النشوز: أصله من النًّشْزِ، وهو كالطموح، وأكثر ما يستعمل في بغض المرأة الرجل، والأظهر هاهنا أنه بغض الرجل للمرأة، ويحتمل أنها إن خافت أن ينشز عليها البعل، لإعادة غيرها عليها، فأباح تعالى أن يتصالحا على ترك بعض حقها، قال ابن عباس: هي أنها تكون قد طعنت في السن يرى الزوج استبدال غيرها بها، فتقول أرضي منك بغير نفقة، أو بغير قسمة</w:t>
      </w:r>
      <w:r>
        <w:rPr>
          <w:rStyle w:val="Appelnotedebasdep"/>
          <w:color w:val="000000"/>
          <w:rtl/>
        </w:rPr>
        <w:footnoteReference w:id="9"/>
      </w:r>
      <w:r w:rsidRPr="00EE5372">
        <w:rPr>
          <w:color w:val="000000"/>
          <w:rtl/>
        </w:rPr>
        <w:t>.</w:t>
      </w:r>
    </w:p>
    <w:p w:rsidR="00562CF7" w:rsidRDefault="00562CF7" w:rsidP="008A5D2D">
      <w:pPr>
        <w:spacing w:after="0" w:line="360" w:lineRule="auto"/>
        <w:ind w:firstLine="566"/>
        <w:jc w:val="both"/>
        <w:rPr>
          <w:rtl/>
        </w:rPr>
      </w:pPr>
      <w:r>
        <w:rPr>
          <w:rFonts w:hint="cs"/>
          <w:rtl/>
        </w:rPr>
        <w:lastRenderedPageBreak/>
        <w:t>فدلت الآية الكريمة على جواز الصلح بين المسلمين، فهو من الطرق والسبل لتحقيق مسعى الاتفاق بين ا</w:t>
      </w:r>
      <w:r w:rsidRPr="00F81582">
        <w:rPr>
          <w:rFonts w:hint="cs"/>
          <w:rtl/>
        </w:rPr>
        <w:t>لمتخا</w:t>
      </w:r>
      <w:r>
        <w:rPr>
          <w:rFonts w:hint="cs"/>
          <w:rtl/>
        </w:rPr>
        <w:t>صمين.</w:t>
      </w:r>
    </w:p>
    <w:p w:rsidR="00562CF7" w:rsidRDefault="00562CF7" w:rsidP="008A5D2D">
      <w:pPr>
        <w:spacing w:after="0" w:line="360" w:lineRule="auto"/>
        <w:ind w:firstLine="566"/>
        <w:jc w:val="both"/>
        <w:rPr>
          <w:rtl/>
        </w:rPr>
      </w:pPr>
      <w:r>
        <w:rPr>
          <w:rFonts w:hint="cs"/>
          <w:rtl/>
        </w:rPr>
        <w:t>قال تعالى: "</w:t>
      </w:r>
      <w:r w:rsidRPr="008C0FB1">
        <w:rPr>
          <w:rFonts w:ascii="Traditional Arabic" w:hAnsi="Traditional Arabic" w:cs="Traditional Arabic"/>
          <w:rtl/>
        </w:rPr>
        <w:t>لاَّ خَيْرَ فِي كَثِيرٍ مِّن نَّجْوَاهُمْ إِلاَّ مَنْ أَمَرَ بِصَدَقَةٍ أَوْ مَعْرُوفٍ أَوْ إِصْلاَحٍ بَيْنَ النَّاسِ وَمَن يَفْعَلْ ذَلِكَ ابْتَغَاء مَرْضَاتِ اللّهِ فَسَوْفَ نُؤْتِيهِ أَجْراً عَظِيماً</w:t>
      </w:r>
      <w:r>
        <w:rPr>
          <w:rFonts w:hint="cs"/>
          <w:rtl/>
        </w:rPr>
        <w:t>"</w:t>
      </w:r>
      <w:r>
        <w:rPr>
          <w:rStyle w:val="Appelnotedebasdep"/>
          <w:rtl/>
        </w:rPr>
        <w:footnoteReference w:id="10"/>
      </w:r>
      <w:r>
        <w:rPr>
          <w:rFonts w:hint="cs"/>
          <w:rtl/>
        </w:rPr>
        <w:t>.</w:t>
      </w:r>
    </w:p>
    <w:p w:rsidR="00562CF7" w:rsidRDefault="00562CF7" w:rsidP="008A5D2D">
      <w:pPr>
        <w:spacing w:after="0" w:line="360" w:lineRule="auto"/>
        <w:ind w:firstLine="566"/>
        <w:jc w:val="both"/>
        <w:rPr>
          <w:rtl/>
        </w:rPr>
      </w:pPr>
      <w:r>
        <w:rPr>
          <w:rFonts w:hint="cs"/>
          <w:rtl/>
        </w:rPr>
        <w:t>وقد جاء في التفسير الميسر أنه:</w:t>
      </w:r>
    </w:p>
    <w:p w:rsidR="00562CF7" w:rsidRDefault="00562CF7" w:rsidP="008A5D2D">
      <w:pPr>
        <w:autoSpaceDE w:val="0"/>
        <w:autoSpaceDN w:val="0"/>
        <w:adjustRightInd w:val="0"/>
        <w:spacing w:after="0" w:line="360" w:lineRule="auto"/>
        <w:ind w:firstLine="566"/>
        <w:jc w:val="both"/>
        <w:rPr>
          <w:rtl/>
        </w:rPr>
      </w:pPr>
      <w:r w:rsidRPr="00EE5372">
        <w:rPr>
          <w:rtl/>
        </w:rPr>
        <w:t>لا نفع في كثير من كلام الناس سرّاً فيما بينهم، إلا إذا كان حديثًا داعيًا إلى بذل المعروف من الصدقة، أو الكلمة الطيبة، أو التوفيق بين الناس، ومن يفعل تلك الأمور طلبًا لرضا الله تعالى راجيًا ثوابه، فسوف نؤتيه ثوابًا جزيلا واسعًا</w:t>
      </w:r>
      <w:r>
        <w:rPr>
          <w:rStyle w:val="Appelnotedebasdep"/>
          <w:rtl/>
        </w:rPr>
        <w:footnoteReference w:id="11"/>
      </w:r>
      <w:r w:rsidRPr="00EE5372">
        <w:rPr>
          <w:rtl/>
        </w:rPr>
        <w:t>.</w:t>
      </w:r>
    </w:p>
    <w:p w:rsidR="00562CF7" w:rsidRDefault="00562CF7" w:rsidP="008A5D2D">
      <w:pPr>
        <w:spacing w:after="0" w:line="360" w:lineRule="auto"/>
        <w:ind w:firstLine="566"/>
        <w:jc w:val="both"/>
        <w:rPr>
          <w:rtl/>
        </w:rPr>
      </w:pPr>
      <w:r>
        <w:rPr>
          <w:rFonts w:hint="cs"/>
          <w:rtl/>
        </w:rPr>
        <w:t>فالآية الكريمة دلت على جواز وفضل الصلح في كل شيء يقطع به النزاع والتخاصم بين المسلمين.</w:t>
      </w:r>
    </w:p>
    <w:p w:rsidR="00562CF7" w:rsidRDefault="00562CF7" w:rsidP="008A5D2D">
      <w:pPr>
        <w:spacing w:after="0" w:line="360" w:lineRule="auto"/>
        <w:ind w:firstLine="567"/>
        <w:jc w:val="both"/>
        <w:outlineLvl w:val="2"/>
        <w:rPr>
          <w:rtl/>
        </w:rPr>
      </w:pPr>
      <w:bookmarkStart w:id="13" w:name="_Toc461013582"/>
      <w:r>
        <w:rPr>
          <w:rFonts w:hint="cs"/>
          <w:b/>
          <w:bCs/>
          <w:rtl/>
        </w:rPr>
        <w:t>الفرع الثاني</w:t>
      </w:r>
      <w:r>
        <w:rPr>
          <w:rFonts w:hint="cs"/>
          <w:rtl/>
        </w:rPr>
        <w:t>: السنة النبوية</w:t>
      </w:r>
      <w:bookmarkEnd w:id="13"/>
    </w:p>
    <w:p w:rsidR="00562CF7" w:rsidRDefault="00562CF7" w:rsidP="008A5D2D">
      <w:pPr>
        <w:spacing w:after="0" w:line="360" w:lineRule="auto"/>
        <w:ind w:firstLine="566"/>
        <w:jc w:val="both"/>
        <w:rPr>
          <w:rtl/>
        </w:rPr>
      </w:pPr>
      <w:r>
        <w:rPr>
          <w:rFonts w:hint="cs"/>
          <w:rtl/>
        </w:rPr>
        <w:t>دلت السنة النبوية على الصلح ونادت به الكثير من الأحاديث منها:</w:t>
      </w:r>
    </w:p>
    <w:p w:rsidR="00562CF7" w:rsidRDefault="00562CF7" w:rsidP="008A5D2D">
      <w:pPr>
        <w:spacing w:after="0" w:line="360" w:lineRule="auto"/>
        <w:ind w:firstLine="566"/>
        <w:jc w:val="both"/>
        <w:rPr>
          <w:rtl/>
        </w:rPr>
      </w:pPr>
      <w:r>
        <w:rPr>
          <w:rFonts w:hint="cs"/>
          <w:rtl/>
        </w:rPr>
        <w:t>- قال رسول الله صلى الله عليه وسلم: "الصلح جائز بين المسلمين إلا صلحاً حرم حلالاً أو أحل حراماً، والمسلمون على شروطهم إلا شرطاً حرم حلالاً أو أحل حراماً"</w:t>
      </w:r>
      <w:r>
        <w:rPr>
          <w:rStyle w:val="Appelnotedebasdep"/>
          <w:rtl/>
        </w:rPr>
        <w:footnoteReference w:id="12"/>
      </w:r>
      <w:r>
        <w:rPr>
          <w:rFonts w:hint="cs"/>
          <w:rtl/>
        </w:rPr>
        <w:t>.</w:t>
      </w:r>
    </w:p>
    <w:p w:rsidR="00562CF7" w:rsidRDefault="00562CF7" w:rsidP="008A5D2D">
      <w:pPr>
        <w:spacing w:after="0" w:line="360" w:lineRule="auto"/>
        <w:ind w:firstLine="566"/>
        <w:jc w:val="both"/>
        <w:rPr>
          <w:rtl/>
        </w:rPr>
      </w:pPr>
      <w:r>
        <w:rPr>
          <w:rFonts w:hint="cs"/>
          <w:rtl/>
        </w:rPr>
        <w:lastRenderedPageBreak/>
        <w:t>فالحديث دل على أن الصلح إن لم يتضمن تحليل محرم أو تحريم حلال، فالصلح صحيح، وإن لم يضمن هذا فالصلح غير صحيح</w:t>
      </w:r>
      <w:r>
        <w:rPr>
          <w:rStyle w:val="Appelnotedebasdep"/>
          <w:rtl/>
        </w:rPr>
        <w:footnoteReference w:id="13"/>
      </w:r>
      <w:r>
        <w:rPr>
          <w:rFonts w:hint="cs"/>
          <w:rtl/>
        </w:rPr>
        <w:t>.</w:t>
      </w:r>
    </w:p>
    <w:p w:rsidR="00562CF7" w:rsidRDefault="00562CF7" w:rsidP="008A5D2D">
      <w:pPr>
        <w:spacing w:after="0" w:line="360" w:lineRule="auto"/>
        <w:ind w:firstLine="566"/>
        <w:jc w:val="both"/>
        <w:rPr>
          <w:rtl/>
        </w:rPr>
      </w:pPr>
      <w:r>
        <w:rPr>
          <w:rFonts w:hint="cs"/>
          <w:rtl/>
        </w:rPr>
        <w:t>- عن أبي الدرداء رضي الله عنه قال: قال رسول الله صلى الله عليه وسلم: "ألا أخبركم بأفضل من درجة الصيام والصلاة والصدقة" قالوا: بلى، قال: صلاح ذات البين، فإن فساد ذات البين هي الحالقة"</w:t>
      </w:r>
      <w:r>
        <w:rPr>
          <w:rStyle w:val="Appelnotedebasdep"/>
          <w:rtl/>
        </w:rPr>
        <w:footnoteReference w:id="14"/>
      </w:r>
      <w:r>
        <w:rPr>
          <w:rFonts w:hint="cs"/>
          <w:rtl/>
        </w:rPr>
        <w:t>.</w:t>
      </w:r>
    </w:p>
    <w:p w:rsidR="00562CF7" w:rsidRDefault="00562CF7" w:rsidP="008A5D2D">
      <w:pPr>
        <w:spacing w:after="0" w:line="360" w:lineRule="auto"/>
        <w:ind w:firstLine="566"/>
        <w:jc w:val="both"/>
        <w:rPr>
          <w:rtl/>
        </w:rPr>
      </w:pPr>
      <w:r>
        <w:rPr>
          <w:rFonts w:hint="cs"/>
          <w:rtl/>
        </w:rPr>
        <w:t>فالسنة النبوية جامعة دلت على مشروعية الصلح، وذلك بالاعتداد بأقوال النبي صلى الله عليه وسلم وأفعاله.</w:t>
      </w:r>
    </w:p>
    <w:p w:rsidR="00562CF7" w:rsidRDefault="00562CF7" w:rsidP="008A5D2D">
      <w:pPr>
        <w:spacing w:after="0" w:line="360" w:lineRule="auto"/>
        <w:ind w:firstLine="567"/>
        <w:jc w:val="both"/>
        <w:outlineLvl w:val="2"/>
        <w:rPr>
          <w:rtl/>
        </w:rPr>
      </w:pPr>
      <w:bookmarkStart w:id="14" w:name="_Toc461013583"/>
      <w:r>
        <w:rPr>
          <w:rFonts w:hint="cs"/>
          <w:b/>
          <w:bCs/>
          <w:rtl/>
        </w:rPr>
        <w:t>الفرع الثالث:</w:t>
      </w:r>
      <w:r>
        <w:rPr>
          <w:rFonts w:hint="cs"/>
          <w:rtl/>
        </w:rPr>
        <w:t xml:space="preserve"> الإجماع</w:t>
      </w:r>
      <w:bookmarkEnd w:id="14"/>
    </w:p>
    <w:p w:rsidR="00562CF7" w:rsidRDefault="00562CF7" w:rsidP="00A359FD">
      <w:pPr>
        <w:spacing w:after="0" w:line="360" w:lineRule="auto"/>
        <w:ind w:firstLine="566"/>
        <w:jc w:val="both"/>
        <w:rPr>
          <w:rtl/>
        </w:rPr>
      </w:pPr>
      <w:r>
        <w:rPr>
          <w:rFonts w:hint="cs"/>
          <w:rtl/>
        </w:rPr>
        <w:t>يدل على مشروعية الصلح إج</w:t>
      </w:r>
      <w:r w:rsidR="00A359FD">
        <w:rPr>
          <w:rFonts w:hint="cs"/>
          <w:rtl/>
        </w:rPr>
        <w:t>ماع المسلمين عليه، وكذا الصحابة</w:t>
      </w:r>
      <w:r>
        <w:rPr>
          <w:rFonts w:hint="cs"/>
          <w:rtl/>
        </w:rPr>
        <w:t>، وذلك عن طريق إعماله في حل الخصومات التي كانت تعرض أمامهم.</w:t>
      </w:r>
    </w:p>
    <w:p w:rsidR="00562CF7" w:rsidRPr="00127E82" w:rsidRDefault="00562CF7" w:rsidP="008A5D2D">
      <w:pPr>
        <w:autoSpaceDE w:val="0"/>
        <w:autoSpaceDN w:val="0"/>
        <w:adjustRightInd w:val="0"/>
        <w:spacing w:after="0" w:line="240" w:lineRule="auto"/>
        <w:rPr>
          <w:rtl/>
        </w:rPr>
      </w:pPr>
      <w:r w:rsidRPr="006629CF">
        <w:rPr>
          <w:rFonts w:hint="cs"/>
          <w:color w:val="000000" w:themeColor="text1"/>
          <w:rtl/>
        </w:rPr>
        <w:t>فقد</w:t>
      </w:r>
      <w:r>
        <w:rPr>
          <w:rFonts w:hint="cs"/>
          <w:rtl/>
        </w:rPr>
        <w:t xml:space="preserve"> قال عمر بن الخطاب رضي الله عنه: </w:t>
      </w:r>
      <w:r w:rsidRPr="00127E82">
        <w:rPr>
          <w:rtl/>
        </w:rPr>
        <w:t>«</w:t>
      </w:r>
      <w:r w:rsidRPr="00127E82">
        <w:rPr>
          <w:rFonts w:ascii="Traditional Arabic" w:cs="Traditional Arabic" w:hint="cs"/>
          <w:color w:val="000000" w:themeColor="text1"/>
          <w:rtl/>
        </w:rPr>
        <w:t>رُدُّوا الْخُصُومَ حَتَّى يَصْطَلِحُوا، فَإِنَّ فَصْلَ الْقَضَاءِ يُورِثُ بَيْنَ الْقَوْمِ الضَّغَائِنَ</w:t>
      </w:r>
      <w:r w:rsidRPr="00127E82">
        <w:rPr>
          <w:rFonts w:ascii="Traditional Arabic" w:cs="Traditional Arabic" w:hint="eastAsia"/>
          <w:color w:val="000000" w:themeColor="text1"/>
          <w:rtl/>
        </w:rPr>
        <w:t>»</w:t>
      </w:r>
      <w:r w:rsidRPr="00127E82">
        <w:rPr>
          <w:rStyle w:val="Appelnotedebasdep"/>
          <w:rFonts w:ascii="Traditional Arabic" w:cs="Traditional Arabic"/>
          <w:color w:val="000000" w:themeColor="text1"/>
          <w:rtl/>
        </w:rPr>
        <w:footnoteReference w:id="15"/>
      </w:r>
    </w:p>
    <w:p w:rsidR="00562CF7" w:rsidRDefault="00562CF7" w:rsidP="008A5D2D">
      <w:pPr>
        <w:spacing w:after="0" w:line="360" w:lineRule="auto"/>
        <w:ind w:firstLine="566"/>
        <w:jc w:val="both"/>
        <w:rPr>
          <w:rtl/>
        </w:rPr>
      </w:pPr>
      <w:r>
        <w:rPr>
          <w:rFonts w:hint="cs"/>
          <w:rtl/>
        </w:rPr>
        <w:t xml:space="preserve">فقد اعتمده الفقهاء والقضاة كآلية لحل الخلافات، فدل المسلمون على </w:t>
      </w:r>
      <w:proofErr w:type="spellStart"/>
      <w:r>
        <w:rPr>
          <w:rFonts w:hint="cs"/>
          <w:rtl/>
        </w:rPr>
        <w:t>جوازيته</w:t>
      </w:r>
      <w:proofErr w:type="spellEnd"/>
      <w:r>
        <w:rPr>
          <w:rFonts w:hint="cs"/>
          <w:rtl/>
        </w:rPr>
        <w:t xml:space="preserve"> بينهم</w:t>
      </w:r>
      <w:r>
        <w:rPr>
          <w:rStyle w:val="Appelnotedebasdep"/>
          <w:rtl/>
        </w:rPr>
        <w:footnoteReference w:id="16"/>
      </w:r>
      <w:r>
        <w:rPr>
          <w:rFonts w:hint="cs"/>
          <w:rtl/>
        </w:rPr>
        <w:t>.</w:t>
      </w:r>
    </w:p>
    <w:p w:rsidR="00562CF7" w:rsidRDefault="00562CF7" w:rsidP="008A5D2D">
      <w:pPr>
        <w:spacing w:after="0" w:line="360" w:lineRule="auto"/>
        <w:ind w:firstLine="566"/>
        <w:jc w:val="both"/>
        <w:rPr>
          <w:b/>
          <w:bCs/>
          <w:rtl/>
        </w:rPr>
      </w:pPr>
    </w:p>
    <w:p w:rsidR="0012210E" w:rsidRDefault="0012210E" w:rsidP="008A5D2D">
      <w:pPr>
        <w:spacing w:after="0" w:line="360" w:lineRule="auto"/>
        <w:ind w:firstLine="567"/>
        <w:jc w:val="both"/>
        <w:outlineLvl w:val="1"/>
        <w:rPr>
          <w:b/>
          <w:bCs/>
          <w:rtl/>
        </w:rPr>
      </w:pPr>
      <w:bookmarkStart w:id="15" w:name="_Toc461013584"/>
    </w:p>
    <w:p w:rsidR="00562CF7" w:rsidRDefault="00562CF7" w:rsidP="008A5D2D">
      <w:pPr>
        <w:spacing w:after="0" w:line="360" w:lineRule="auto"/>
        <w:ind w:firstLine="567"/>
        <w:jc w:val="both"/>
        <w:outlineLvl w:val="1"/>
        <w:rPr>
          <w:rtl/>
        </w:rPr>
      </w:pPr>
      <w:r w:rsidRPr="007D34CE">
        <w:rPr>
          <w:rFonts w:hint="cs"/>
          <w:b/>
          <w:bCs/>
          <w:rtl/>
        </w:rPr>
        <w:lastRenderedPageBreak/>
        <w:t>المطلب الثالث</w:t>
      </w:r>
      <w:r>
        <w:rPr>
          <w:rFonts w:hint="cs"/>
          <w:rtl/>
        </w:rPr>
        <w:t>: شروط الصلح</w:t>
      </w:r>
      <w:bookmarkEnd w:id="15"/>
    </w:p>
    <w:p w:rsidR="00562CF7" w:rsidRDefault="00562CF7" w:rsidP="008A5D2D">
      <w:pPr>
        <w:spacing w:after="0" w:line="360" w:lineRule="auto"/>
        <w:ind w:firstLine="566"/>
        <w:jc w:val="both"/>
        <w:rPr>
          <w:rtl/>
        </w:rPr>
      </w:pPr>
      <w:proofErr w:type="spellStart"/>
      <w:r>
        <w:rPr>
          <w:rFonts w:hint="cs"/>
          <w:rtl/>
        </w:rPr>
        <w:t>بإعتبار</w:t>
      </w:r>
      <w:proofErr w:type="spellEnd"/>
      <w:r>
        <w:rPr>
          <w:rFonts w:hint="cs"/>
          <w:rtl/>
        </w:rPr>
        <w:t xml:space="preserve"> الصلح عقد من عقود المسماة لابد من توافر شروط تميزها عن غيره من العقود وهذا ما سيتم تبيانه في هذا المطلب.</w:t>
      </w:r>
    </w:p>
    <w:p w:rsidR="00562CF7" w:rsidRDefault="00562CF7" w:rsidP="008A5D2D">
      <w:pPr>
        <w:spacing w:after="0" w:line="360" w:lineRule="auto"/>
        <w:ind w:firstLine="567"/>
        <w:jc w:val="both"/>
        <w:outlineLvl w:val="2"/>
        <w:rPr>
          <w:rtl/>
        </w:rPr>
      </w:pPr>
      <w:bookmarkStart w:id="16" w:name="_Toc461013585"/>
      <w:r w:rsidRPr="007D34CE">
        <w:rPr>
          <w:rFonts w:hint="cs"/>
          <w:b/>
          <w:bCs/>
          <w:rtl/>
        </w:rPr>
        <w:t>الفرع الأول</w:t>
      </w:r>
      <w:r>
        <w:rPr>
          <w:rFonts w:hint="cs"/>
          <w:rtl/>
        </w:rPr>
        <w:t>: وجود نزاع قائم أو محتمل</w:t>
      </w:r>
      <w:bookmarkEnd w:id="16"/>
    </w:p>
    <w:p w:rsidR="00562CF7" w:rsidRDefault="00562CF7" w:rsidP="008A5D2D">
      <w:pPr>
        <w:spacing w:after="0" w:line="360" w:lineRule="auto"/>
        <w:ind w:firstLine="566"/>
        <w:jc w:val="both"/>
        <w:rPr>
          <w:rtl/>
        </w:rPr>
      </w:pPr>
      <w:r>
        <w:rPr>
          <w:rFonts w:hint="cs"/>
          <w:rtl/>
        </w:rPr>
        <w:t>أول مقومات الصلح هو أن يكون هناك نزاع بين المتصالحين قائم أو محتمل، فإن لم يكن هناك نزاع قائم أو محتمل لم يكن العقد صحيحاً، أي أن يكون نزاع جدي وليس هزلي</w:t>
      </w:r>
      <w:r w:rsidRPr="00565EA6">
        <w:rPr>
          <w:rFonts w:hint="cs"/>
          <w:rtl/>
        </w:rPr>
        <w:t>ا</w:t>
      </w:r>
      <w:r>
        <w:rPr>
          <w:rFonts w:hint="cs"/>
          <w:rtl/>
        </w:rPr>
        <w:t>.</w:t>
      </w:r>
    </w:p>
    <w:p w:rsidR="00562CF7" w:rsidRPr="00565EA6" w:rsidRDefault="00562CF7" w:rsidP="008A5D2D">
      <w:pPr>
        <w:spacing w:after="0" w:line="360" w:lineRule="auto"/>
        <w:ind w:firstLine="566"/>
        <w:jc w:val="both"/>
        <w:rPr>
          <w:rtl/>
        </w:rPr>
      </w:pPr>
      <w:r>
        <w:rPr>
          <w:rFonts w:hint="cs"/>
          <w:rtl/>
        </w:rPr>
        <w:t xml:space="preserve">مثال ذلك: في حالة طلاق، لابد أن يكون هناك دعوى مرفوعة من القضاء حتى </w:t>
      </w:r>
      <w:r w:rsidRPr="00565EA6">
        <w:rPr>
          <w:rFonts w:hint="cs"/>
          <w:rtl/>
        </w:rPr>
        <w:t>يتم</w:t>
      </w:r>
      <w:r>
        <w:rPr>
          <w:rFonts w:hint="cs"/>
          <w:rtl/>
        </w:rPr>
        <w:t xml:space="preserve"> إجراء الصلح، أي لابد من قوع نزاع بين الزوجين، بل يكفي أن يكون محتملاً بين الطرفين فيكون الصلح لتوقي وقوع النزاع، وهذا الشرط نص عليه المشرع الجزائري في المادة 459 </w:t>
      </w:r>
      <w:r w:rsidRPr="00565EA6">
        <w:rPr>
          <w:rFonts w:hint="cs"/>
          <w:rtl/>
        </w:rPr>
        <w:t>من القانون المدني.</w:t>
      </w:r>
    </w:p>
    <w:p w:rsidR="00562CF7" w:rsidRPr="00565EA6" w:rsidRDefault="00562CF7" w:rsidP="008A5D2D">
      <w:pPr>
        <w:spacing w:after="0" w:line="360" w:lineRule="auto"/>
        <w:ind w:firstLine="567"/>
        <w:jc w:val="both"/>
        <w:outlineLvl w:val="2"/>
        <w:rPr>
          <w:b/>
          <w:bCs/>
          <w:rtl/>
        </w:rPr>
      </w:pPr>
      <w:bookmarkStart w:id="17" w:name="_Toc461013586"/>
      <w:r w:rsidRPr="00565EA6">
        <w:rPr>
          <w:rFonts w:hint="cs"/>
          <w:b/>
          <w:bCs/>
          <w:rtl/>
        </w:rPr>
        <w:t>الفرع الثاني</w:t>
      </w:r>
      <w:r w:rsidRPr="00565EA6">
        <w:rPr>
          <w:rFonts w:hint="cs"/>
          <w:rtl/>
        </w:rPr>
        <w:t>: نية حسم النزاع</w:t>
      </w:r>
      <w:bookmarkEnd w:id="17"/>
    </w:p>
    <w:p w:rsidR="00562CF7" w:rsidRDefault="00562CF7" w:rsidP="008A5D2D">
      <w:pPr>
        <w:spacing w:after="0" w:line="360" w:lineRule="auto"/>
        <w:ind w:firstLine="566"/>
        <w:jc w:val="both"/>
        <w:rPr>
          <w:rtl/>
        </w:rPr>
      </w:pPr>
      <w:r w:rsidRPr="00565EA6">
        <w:rPr>
          <w:rFonts w:hint="cs"/>
          <w:rtl/>
        </w:rPr>
        <w:t>يجب أن يقصد الطرفان بالصلح حسم النزاع الذي بينهما، إما بإنهائه إذا كان قائماً أو توقيه إذا كان محتملاً، مثال ذلك: الشقاق الذي يحدث بين الزوجين، فالحكمين الذين يعينهما القاضي لابد من أن تكون نيتهم حسم النزاع القائم بين الزوجين، وذلك بالتوفيق بينهما.</w:t>
      </w:r>
    </w:p>
    <w:p w:rsidR="00562CF7" w:rsidRDefault="00562CF7" w:rsidP="008A5D2D">
      <w:pPr>
        <w:spacing w:after="0" w:line="360" w:lineRule="auto"/>
        <w:ind w:firstLine="567"/>
        <w:jc w:val="both"/>
        <w:outlineLvl w:val="2"/>
        <w:rPr>
          <w:rtl/>
        </w:rPr>
      </w:pPr>
      <w:bookmarkStart w:id="18" w:name="_Toc461013587"/>
      <w:r>
        <w:rPr>
          <w:rFonts w:hint="cs"/>
          <w:b/>
          <w:bCs/>
          <w:rtl/>
        </w:rPr>
        <w:t>الفرع الثالث</w:t>
      </w:r>
      <w:r>
        <w:rPr>
          <w:rFonts w:hint="cs"/>
          <w:rtl/>
        </w:rPr>
        <w:t>: تنازل كل طرف عن جزء من حقه</w:t>
      </w:r>
      <w:bookmarkEnd w:id="18"/>
    </w:p>
    <w:p w:rsidR="00562CF7" w:rsidRDefault="00562CF7" w:rsidP="008A5D2D">
      <w:pPr>
        <w:spacing w:after="0" w:line="360" w:lineRule="auto"/>
        <w:ind w:firstLine="566"/>
        <w:jc w:val="both"/>
        <w:rPr>
          <w:rtl/>
        </w:rPr>
      </w:pPr>
      <w:r>
        <w:rPr>
          <w:rFonts w:hint="cs"/>
          <w:rtl/>
        </w:rPr>
        <w:t xml:space="preserve">يجب أن ينزل كل من المتصالحين على وجه التقابل عن جزء من ادعائه، فلو لم ينزل أحدهما عن شيء مما يدعيه ونزل الآخر عن كل ما يدعيه لم يكن هذا صلحاً، بل هو </w:t>
      </w:r>
      <w:r>
        <w:rPr>
          <w:rFonts w:hint="cs"/>
          <w:rtl/>
        </w:rPr>
        <w:lastRenderedPageBreak/>
        <w:t xml:space="preserve">محض نزول عن الادعاء، وهذا يكون في التسليم بالحق التي يكون فيها التضحية من جانب واحد أما الصلح فيجب أن يكون من الجانبين </w:t>
      </w:r>
      <w:r w:rsidRPr="00565EA6">
        <w:rPr>
          <w:rFonts w:hint="cs"/>
          <w:rtl/>
        </w:rPr>
        <w:t>ولا تكون غير متعادلة</w:t>
      </w:r>
      <w:r>
        <w:rPr>
          <w:rFonts w:hint="cs"/>
          <w:rtl/>
        </w:rPr>
        <w:t xml:space="preserve"> فيتنازل كل طرف عن جزء من ادعاءه يثبت الصلح بين المتخاصمين</w:t>
      </w:r>
      <w:r>
        <w:rPr>
          <w:rStyle w:val="Appelnotedebasdep"/>
          <w:rtl/>
        </w:rPr>
        <w:footnoteReference w:id="17"/>
      </w:r>
      <w:r>
        <w:rPr>
          <w:rFonts w:hint="cs"/>
          <w:rtl/>
        </w:rPr>
        <w:t xml:space="preserve">. </w:t>
      </w:r>
    </w:p>
    <w:p w:rsidR="00562CF7" w:rsidRDefault="00562CF7" w:rsidP="008A5D2D">
      <w:pPr>
        <w:spacing w:after="0" w:line="360" w:lineRule="auto"/>
        <w:ind w:firstLine="567"/>
        <w:jc w:val="both"/>
        <w:outlineLvl w:val="1"/>
        <w:rPr>
          <w:rtl/>
        </w:rPr>
      </w:pPr>
      <w:bookmarkStart w:id="19" w:name="_Toc461013588"/>
      <w:r>
        <w:rPr>
          <w:rFonts w:hint="cs"/>
          <w:b/>
          <w:bCs/>
          <w:rtl/>
        </w:rPr>
        <w:t>المطلب الرابع</w:t>
      </w:r>
      <w:r>
        <w:rPr>
          <w:rFonts w:hint="cs"/>
          <w:rtl/>
        </w:rPr>
        <w:t>: تمييز الصلح عما يشابهه من تصرفات قانونية</w:t>
      </w:r>
      <w:bookmarkEnd w:id="19"/>
    </w:p>
    <w:p w:rsidR="00562CF7" w:rsidRDefault="00562CF7" w:rsidP="008A5D2D">
      <w:pPr>
        <w:spacing w:after="0" w:line="360" w:lineRule="auto"/>
        <w:ind w:firstLine="566"/>
        <w:jc w:val="both"/>
        <w:rPr>
          <w:rtl/>
        </w:rPr>
      </w:pPr>
      <w:r>
        <w:rPr>
          <w:rFonts w:hint="cs"/>
          <w:rtl/>
        </w:rPr>
        <w:t>قد يتقارب عقد الصلح مع بعض التصرفات القانونية كالتحكيم والوساطة، وقد يختلف معها في بعض النقاط وهذا ما سنبينه في هذا المطلب.</w:t>
      </w:r>
    </w:p>
    <w:p w:rsidR="00562CF7" w:rsidRDefault="00562CF7" w:rsidP="008A5D2D">
      <w:pPr>
        <w:spacing w:after="0" w:line="360" w:lineRule="auto"/>
        <w:ind w:firstLine="567"/>
        <w:jc w:val="both"/>
        <w:outlineLvl w:val="2"/>
        <w:rPr>
          <w:rtl/>
        </w:rPr>
      </w:pPr>
      <w:bookmarkStart w:id="20" w:name="_Toc461013589"/>
      <w:r>
        <w:rPr>
          <w:rFonts w:hint="cs"/>
          <w:b/>
          <w:bCs/>
          <w:rtl/>
        </w:rPr>
        <w:t>الفرع الأول</w:t>
      </w:r>
      <w:r>
        <w:rPr>
          <w:rFonts w:hint="cs"/>
          <w:rtl/>
        </w:rPr>
        <w:t>: الصلح والتحكيم</w:t>
      </w:r>
      <w:bookmarkEnd w:id="20"/>
    </w:p>
    <w:p w:rsidR="00562CF7" w:rsidRDefault="00562CF7" w:rsidP="008A5D2D">
      <w:pPr>
        <w:spacing w:after="0" w:line="312" w:lineRule="auto"/>
        <w:ind w:firstLine="567"/>
        <w:jc w:val="both"/>
        <w:rPr>
          <w:rtl/>
        </w:rPr>
      </w:pPr>
      <w:r>
        <w:rPr>
          <w:rFonts w:hint="cs"/>
          <w:rtl/>
        </w:rPr>
        <w:t>يتفقان في أن كل واحد منهما يؤدي إلى حسم النزاع والخصومة دون استصدار حكم قضائي، فالصلح يقوم على التضحية بين المتنازعين أنفسهم على عكس التحكيم الذي يقوم على حكم المحكمين، فهم من يعدون التقرير لأسباب الشقاق والنشوز بين الزوجين ويقدمونه للقاضي، كما أن الصلح يقطع الخصومة، أما التحكيم فلا يقطع الخصومة لأنه أحد مراحل الخصومة على عكس الصلح، إذ يعتبر قاط</w:t>
      </w:r>
      <w:r w:rsidRPr="00A11338">
        <w:rPr>
          <w:rFonts w:hint="cs"/>
          <w:rtl/>
        </w:rPr>
        <w:t>عا</w:t>
      </w:r>
      <w:r>
        <w:rPr>
          <w:rFonts w:hint="cs"/>
          <w:rtl/>
        </w:rPr>
        <w:t xml:space="preserve"> للخصومة، كما يعتبر أيضاً الصلح عقد تراض</w:t>
      </w:r>
      <w:r w:rsidRPr="00A11338">
        <w:rPr>
          <w:rFonts w:hint="cs"/>
          <w:rtl/>
        </w:rPr>
        <w:t>ي</w:t>
      </w:r>
      <w:r>
        <w:rPr>
          <w:rFonts w:hint="cs"/>
          <w:rtl/>
        </w:rPr>
        <w:t xml:space="preserve"> بين الخصمين، أما التحكيم فقرار في قوة الحكم القضائي، كذاك في التحكيم لابد من احترام مبادئ العقد، فالعقد شريعة المتعاقدين، في حين أن الصلح أكثر مرونة منه لأنه يعتمد على نظم مبادئ العدالة والقسط</w:t>
      </w:r>
      <w:r>
        <w:rPr>
          <w:rStyle w:val="Appelnotedebasdep"/>
          <w:rtl/>
        </w:rPr>
        <w:footnoteReference w:id="18"/>
      </w:r>
      <w:r>
        <w:rPr>
          <w:rFonts w:hint="cs"/>
          <w:rtl/>
        </w:rPr>
        <w:t>.</w:t>
      </w:r>
    </w:p>
    <w:p w:rsidR="00562CF7" w:rsidRDefault="00562CF7" w:rsidP="008A5D2D">
      <w:pPr>
        <w:spacing w:after="0" w:line="312" w:lineRule="auto"/>
        <w:ind w:firstLine="567"/>
        <w:jc w:val="both"/>
        <w:rPr>
          <w:rtl/>
        </w:rPr>
      </w:pPr>
    </w:p>
    <w:p w:rsidR="00562CF7" w:rsidRDefault="00562CF7" w:rsidP="008A5D2D">
      <w:pPr>
        <w:spacing w:after="0" w:line="312" w:lineRule="auto"/>
        <w:ind w:firstLine="567"/>
        <w:jc w:val="both"/>
        <w:outlineLvl w:val="2"/>
        <w:rPr>
          <w:rtl/>
        </w:rPr>
      </w:pPr>
      <w:bookmarkStart w:id="21" w:name="_Toc461013590"/>
      <w:r>
        <w:rPr>
          <w:rFonts w:hint="cs"/>
          <w:b/>
          <w:bCs/>
          <w:rtl/>
        </w:rPr>
        <w:lastRenderedPageBreak/>
        <w:t>الفرع الثاني</w:t>
      </w:r>
      <w:r>
        <w:rPr>
          <w:rFonts w:hint="cs"/>
          <w:rtl/>
        </w:rPr>
        <w:t>: الصلح وترك الخصومة</w:t>
      </w:r>
      <w:bookmarkEnd w:id="21"/>
    </w:p>
    <w:p w:rsidR="00562CF7" w:rsidRDefault="00562CF7" w:rsidP="008A5D2D">
      <w:pPr>
        <w:spacing w:after="0" w:line="312" w:lineRule="auto"/>
        <w:ind w:firstLine="567"/>
        <w:jc w:val="both"/>
        <w:rPr>
          <w:rtl/>
        </w:rPr>
      </w:pPr>
      <w:r>
        <w:rPr>
          <w:rFonts w:hint="cs"/>
          <w:rtl/>
        </w:rPr>
        <w:t>ترك الخصومة هو أن يتنازل المدعي عن الحق الذي طالب به في عريضة لدعوى أو ورقة أو إجراء فيها، فالصلح يكون التنازل فيه متبادل بين الطرفين عن جزء من حقوقهم، أما في ترك الخصومة فإن التنازل عن الحقوق والادعاءات يكون من طرف واحد، فقد اعتبر المشرع الجزائري أن التنازل عن الخصومة هو إمكانية مخولة للمدعي لإنهاء الخصومة إلا أنه قيده بقبوله المدعى عليه بهذا التنازل، إذا كان المدعى عليه قد قدم طلباً مقابلاً أو دفوعاً بعدم القبول أو دفوعاً في الموضوع</w:t>
      </w:r>
      <w:r>
        <w:rPr>
          <w:rStyle w:val="Appelnotedebasdep"/>
          <w:rtl/>
        </w:rPr>
        <w:footnoteReference w:id="19"/>
      </w:r>
      <w:r>
        <w:rPr>
          <w:rFonts w:hint="cs"/>
          <w:rtl/>
        </w:rPr>
        <w:t>.</w:t>
      </w:r>
    </w:p>
    <w:p w:rsidR="00562CF7" w:rsidRDefault="00562CF7" w:rsidP="008A5D2D">
      <w:pPr>
        <w:spacing w:after="0" w:line="312" w:lineRule="auto"/>
        <w:ind w:firstLine="567"/>
        <w:jc w:val="both"/>
        <w:outlineLvl w:val="2"/>
        <w:rPr>
          <w:rtl/>
        </w:rPr>
      </w:pPr>
      <w:bookmarkStart w:id="22" w:name="_Toc461013591"/>
      <w:r>
        <w:rPr>
          <w:rFonts w:hint="cs"/>
          <w:b/>
          <w:bCs/>
          <w:rtl/>
        </w:rPr>
        <w:t>الفرع الثالث</w:t>
      </w:r>
      <w:r>
        <w:rPr>
          <w:rFonts w:hint="cs"/>
          <w:rtl/>
        </w:rPr>
        <w:t>: الصلح والوساطة</w:t>
      </w:r>
      <w:bookmarkEnd w:id="22"/>
    </w:p>
    <w:p w:rsidR="00562CF7" w:rsidRDefault="00562CF7" w:rsidP="008A5D2D">
      <w:pPr>
        <w:spacing w:after="0" w:line="312" w:lineRule="auto"/>
        <w:ind w:firstLine="567"/>
        <w:jc w:val="both"/>
        <w:rPr>
          <w:rtl/>
        </w:rPr>
      </w:pPr>
      <w:r>
        <w:rPr>
          <w:rFonts w:hint="cs"/>
          <w:rtl/>
        </w:rPr>
        <w:t xml:space="preserve">تعرف الوساطة بأنها آلية لحل المنازعات القانونية ودياً بين فريقين أو أكثر بمعاونة شخص ثالث (وسيط)، يلعب دور الوسيط بتوجيه المفاوضات وصقلها للمساعدة على إعطاء الحلول وتفويضها بعقود، فالوسيط هو المتوسط بين المتخاصمين، فالوساطة تنتهي بتقديم حلول في شكل اقتراحات وتوصيات للأطراف الذين يأخذون بها أو يرفضونها، أما الصلح فينتج </w:t>
      </w:r>
      <w:r w:rsidRPr="00A11338">
        <w:rPr>
          <w:rFonts w:hint="cs"/>
          <w:rtl/>
        </w:rPr>
        <w:t>حكما رضائيا</w:t>
      </w:r>
      <w:r>
        <w:rPr>
          <w:rFonts w:hint="cs"/>
          <w:rtl/>
        </w:rPr>
        <w:t xml:space="preserve"> بين الطرفين، كما أنه تتم جلسات الوساطة في سرية تامة على عكس الصلح الذي يتم أمام القاضي في جلسة علنية</w:t>
      </w:r>
      <w:r>
        <w:rPr>
          <w:rStyle w:val="Appelnotedebasdep"/>
          <w:rtl/>
        </w:rPr>
        <w:footnoteReference w:id="20"/>
      </w:r>
      <w:r>
        <w:rPr>
          <w:rFonts w:hint="cs"/>
          <w:rtl/>
        </w:rPr>
        <w:t>.</w:t>
      </w:r>
    </w:p>
    <w:p w:rsidR="00562CF7" w:rsidRDefault="00562CF7" w:rsidP="008A5D2D">
      <w:pPr>
        <w:spacing w:after="0" w:line="360" w:lineRule="auto"/>
        <w:ind w:firstLine="566"/>
        <w:jc w:val="both"/>
        <w:rPr>
          <w:b/>
          <w:bCs/>
          <w:rtl/>
        </w:rPr>
      </w:pPr>
    </w:p>
    <w:p w:rsidR="00562CF7" w:rsidRDefault="00562CF7" w:rsidP="008A5D2D">
      <w:pPr>
        <w:spacing w:after="0" w:line="360" w:lineRule="auto"/>
        <w:ind w:firstLine="566"/>
        <w:jc w:val="both"/>
        <w:rPr>
          <w:b/>
          <w:bCs/>
          <w:rtl/>
        </w:rPr>
      </w:pPr>
    </w:p>
    <w:p w:rsidR="00562CF7" w:rsidRDefault="00562CF7" w:rsidP="008A5D2D">
      <w:pPr>
        <w:spacing w:after="0" w:line="360" w:lineRule="auto"/>
        <w:ind w:firstLine="567"/>
        <w:jc w:val="both"/>
        <w:outlineLvl w:val="0"/>
        <w:rPr>
          <w:rtl/>
        </w:rPr>
      </w:pPr>
      <w:bookmarkStart w:id="23" w:name="_Toc461013592"/>
      <w:r>
        <w:rPr>
          <w:rFonts w:hint="cs"/>
          <w:b/>
          <w:bCs/>
          <w:rtl/>
        </w:rPr>
        <w:lastRenderedPageBreak/>
        <w:t>المبحث الثاني</w:t>
      </w:r>
      <w:r>
        <w:rPr>
          <w:rFonts w:hint="cs"/>
          <w:rtl/>
        </w:rPr>
        <w:t>: أركان الصلح</w:t>
      </w:r>
      <w:bookmarkEnd w:id="23"/>
    </w:p>
    <w:p w:rsidR="00562CF7" w:rsidRDefault="00562CF7" w:rsidP="008A5D2D">
      <w:pPr>
        <w:spacing w:after="0" w:line="360" w:lineRule="auto"/>
        <w:ind w:firstLine="566"/>
        <w:jc w:val="both"/>
        <w:rPr>
          <w:rtl/>
        </w:rPr>
      </w:pPr>
      <w:r>
        <w:rPr>
          <w:rFonts w:hint="cs"/>
          <w:rtl/>
        </w:rPr>
        <w:t>يعتبر الصلح من العقود المسماة، لذا فهو يخضع للقواعد العامة المقررة في النظرية العامة للعقد من حيث التراضي والمحل والسبب، وهذا ما وردت أحكامه في التقنين المدني الجزائري التي سنتناولها في هذا المبحث.</w:t>
      </w:r>
    </w:p>
    <w:p w:rsidR="00562CF7" w:rsidRDefault="00562CF7" w:rsidP="008A5D2D">
      <w:pPr>
        <w:spacing w:after="0" w:line="360" w:lineRule="auto"/>
        <w:ind w:firstLine="567"/>
        <w:jc w:val="both"/>
        <w:outlineLvl w:val="1"/>
        <w:rPr>
          <w:rtl/>
        </w:rPr>
      </w:pPr>
      <w:bookmarkStart w:id="24" w:name="_Toc461013593"/>
      <w:r>
        <w:rPr>
          <w:rFonts w:hint="cs"/>
          <w:b/>
          <w:bCs/>
          <w:rtl/>
        </w:rPr>
        <w:t>المطلب الأول</w:t>
      </w:r>
      <w:r>
        <w:rPr>
          <w:rFonts w:hint="cs"/>
          <w:rtl/>
        </w:rPr>
        <w:t>: التراضي في عقد الصلح</w:t>
      </w:r>
      <w:bookmarkEnd w:id="24"/>
    </w:p>
    <w:p w:rsidR="00562CF7" w:rsidRDefault="00562CF7" w:rsidP="008A5D2D">
      <w:pPr>
        <w:spacing w:after="0" w:line="360" w:lineRule="auto"/>
        <w:ind w:firstLine="566"/>
        <w:jc w:val="both"/>
        <w:rPr>
          <w:rtl/>
        </w:rPr>
      </w:pPr>
      <w:r>
        <w:rPr>
          <w:rFonts w:hint="cs"/>
          <w:rtl/>
        </w:rPr>
        <w:t xml:space="preserve">التراضي هو تطابق إرادتي المتعاقدين بالإيجاب والقبول وهذا </w:t>
      </w:r>
      <w:proofErr w:type="spellStart"/>
      <w:r>
        <w:rPr>
          <w:rFonts w:hint="cs"/>
          <w:rtl/>
        </w:rPr>
        <w:t>ماسنبرزه</w:t>
      </w:r>
      <w:proofErr w:type="spellEnd"/>
      <w:r>
        <w:rPr>
          <w:rFonts w:hint="cs"/>
          <w:rtl/>
        </w:rPr>
        <w:t xml:space="preserve"> في هذا المطلب.</w:t>
      </w:r>
    </w:p>
    <w:p w:rsidR="00562CF7" w:rsidRDefault="00562CF7" w:rsidP="008A5D2D">
      <w:pPr>
        <w:tabs>
          <w:tab w:val="left" w:pos="5531"/>
        </w:tabs>
        <w:spacing w:after="0" w:line="360" w:lineRule="auto"/>
        <w:ind w:firstLine="566"/>
        <w:jc w:val="both"/>
        <w:outlineLvl w:val="2"/>
        <w:rPr>
          <w:rtl/>
        </w:rPr>
      </w:pPr>
      <w:bookmarkStart w:id="25" w:name="_Toc461013594"/>
      <w:r>
        <w:rPr>
          <w:rFonts w:hint="cs"/>
          <w:b/>
          <w:bCs/>
          <w:rtl/>
        </w:rPr>
        <w:t>الفرع الأول</w:t>
      </w:r>
      <w:r>
        <w:rPr>
          <w:rFonts w:hint="cs"/>
          <w:rtl/>
        </w:rPr>
        <w:t>: التراضي في الفقه الإسلامي</w:t>
      </w:r>
      <w:bookmarkEnd w:id="25"/>
      <w:r>
        <w:rPr>
          <w:rtl/>
        </w:rPr>
        <w:tab/>
      </w:r>
    </w:p>
    <w:p w:rsidR="00562CF7" w:rsidRDefault="00562CF7" w:rsidP="008A5D2D">
      <w:pPr>
        <w:spacing w:after="0" w:line="360" w:lineRule="auto"/>
        <w:ind w:firstLine="566"/>
        <w:jc w:val="both"/>
        <w:rPr>
          <w:rtl/>
        </w:rPr>
      </w:pPr>
      <w:r>
        <w:rPr>
          <w:rFonts w:hint="cs"/>
          <w:rtl/>
        </w:rPr>
        <w:t>التراضي يعني تطابق إرادتين للمتعاقدين، وتظهر هاتين الإرادتين من حيث التعبير عنها وهو ما يعرف بالإيجاب من أحد المتعاقدين وقبول من المتعاقد الآخر، ويكون الإيجاب والقبول بكل لفظ ينبئ عن المصالحة، كأن يقول المدعى عليه: صالحتك على المئة التي لك عندي على خمسين</w:t>
      </w:r>
      <w:r>
        <w:rPr>
          <w:rStyle w:val="Appelnotedebasdep"/>
          <w:rtl/>
        </w:rPr>
        <w:footnoteReference w:id="21"/>
      </w:r>
      <w:r>
        <w:rPr>
          <w:rFonts w:hint="cs"/>
          <w:rtl/>
        </w:rPr>
        <w:t>.</w:t>
      </w:r>
    </w:p>
    <w:p w:rsidR="00562CF7" w:rsidRDefault="00562CF7" w:rsidP="008A5D2D">
      <w:pPr>
        <w:spacing w:after="0" w:line="360" w:lineRule="auto"/>
        <w:ind w:firstLine="566"/>
        <w:jc w:val="both"/>
        <w:rPr>
          <w:rtl/>
        </w:rPr>
      </w:pPr>
      <w:r>
        <w:rPr>
          <w:rFonts w:hint="cs"/>
          <w:rtl/>
        </w:rPr>
        <w:t xml:space="preserve">فقد قال الإمام </w:t>
      </w:r>
      <w:proofErr w:type="spellStart"/>
      <w:r>
        <w:rPr>
          <w:rFonts w:hint="cs"/>
          <w:rtl/>
        </w:rPr>
        <w:t>الكاساني</w:t>
      </w:r>
      <w:proofErr w:type="spellEnd"/>
      <w:r>
        <w:rPr>
          <w:rFonts w:hint="cs"/>
          <w:rtl/>
        </w:rPr>
        <w:t xml:space="preserve"> أن ركن الصلح هو الإيجاب والقبول بأن يقول المدعى عليه: صالح</w:t>
      </w:r>
      <w:r w:rsidRPr="002655D6">
        <w:rPr>
          <w:rFonts w:hint="cs"/>
          <w:rtl/>
        </w:rPr>
        <w:t>ت</w:t>
      </w:r>
      <w:r>
        <w:rPr>
          <w:rFonts w:hint="cs"/>
          <w:rtl/>
        </w:rPr>
        <w:t xml:space="preserve">ك على دعواك كذا على كذا، فيقول المدعي: قبلت أو رضيت أو ما يدل على قبوله ورضاه، فإن وجد الإيجاب والقبول فقد تم عقد الصلح بشرط توافر الشروط الأخرى المتعلقة </w:t>
      </w:r>
      <w:r>
        <w:rPr>
          <w:rFonts w:hint="cs"/>
          <w:rtl/>
        </w:rPr>
        <w:lastRenderedPageBreak/>
        <w:t>بصيغة العقد وتطابق الإرادتين في مجلس العقد وغيرهما من الشروط اللازمة الخاصة بأهلية المتعاقدين المصالح عنه والمصالح عليه</w:t>
      </w:r>
      <w:r>
        <w:rPr>
          <w:rStyle w:val="Appelnotedebasdep"/>
          <w:rtl/>
        </w:rPr>
        <w:footnoteReference w:id="22"/>
      </w:r>
      <w:r>
        <w:rPr>
          <w:rFonts w:hint="cs"/>
          <w:rtl/>
        </w:rPr>
        <w:t>.</w:t>
      </w:r>
    </w:p>
    <w:p w:rsidR="00562CF7" w:rsidRDefault="00562CF7" w:rsidP="008A5D2D">
      <w:pPr>
        <w:spacing w:after="0" w:line="360" w:lineRule="auto"/>
        <w:ind w:firstLine="566"/>
        <w:jc w:val="both"/>
        <w:rPr>
          <w:rtl/>
        </w:rPr>
      </w:pPr>
      <w:r>
        <w:rPr>
          <w:rFonts w:hint="cs"/>
          <w:rtl/>
        </w:rPr>
        <w:t>كما اشترط الفقه الإسلامي العقل في التصرفات مثلما هي الحال بالنسبة لعقد الصلح ولصحته يجب أن يكون صادراً من شخص أهل لإبرام عقد الصلح، وأن تكون إرادته خالية من العيوب، فيجب أن يكون المصالح عاقلاً وهذا شرط عام في جميع التصرفات، فلا يصح صلح المجنون والصبي الذي لا يعقل لانعدام أهلية التصرف بانعدام العقل، وحتى يصح صلح الصبي (الصبي المأذون) يجب أن يكون فيه نفع أو لا يكون فيه ضرر ظاهر وإذا كان مأذوناً للصبي المميز بالتجارة نفذ العقد في حقه، ويتوقف العقد على الإجازة إذا كان محجوراً عليه وكذا صلح العبد المأذون له إذا عاد عليه بالمنفعة</w:t>
      </w:r>
      <w:r>
        <w:rPr>
          <w:rStyle w:val="Appelnotedebasdep"/>
          <w:rtl/>
        </w:rPr>
        <w:footnoteReference w:id="23"/>
      </w:r>
      <w:r>
        <w:rPr>
          <w:rFonts w:hint="cs"/>
          <w:rtl/>
        </w:rPr>
        <w:t>،</w:t>
      </w:r>
      <w:proofErr w:type="spellStart"/>
      <w:r>
        <w:rPr>
          <w:rFonts w:hint="cs"/>
          <w:rtl/>
        </w:rPr>
        <w:t>فالأحناف</w:t>
      </w:r>
      <w:proofErr w:type="spellEnd"/>
      <w:r>
        <w:rPr>
          <w:rFonts w:hint="cs"/>
          <w:rtl/>
        </w:rPr>
        <w:t xml:space="preserve"> ذهبوا الى أن للصلح ركن واحد هو الصيغة المؤلفة من الإيجاب والقبول</w:t>
      </w:r>
      <w:r>
        <w:rPr>
          <w:rStyle w:val="Appelnotedebasdep"/>
          <w:rtl/>
        </w:rPr>
        <w:footnoteReference w:id="24"/>
      </w:r>
      <w:r>
        <w:rPr>
          <w:rFonts w:hint="cs"/>
          <w:rtl/>
        </w:rPr>
        <w:t>، وخالفهم جمهور الفقهاء في أنه ليست الصيغة وحدها الركن الوحيد للصلح منهم الشافعية التي عددت عدة أركان</w:t>
      </w:r>
      <w:r>
        <w:rPr>
          <w:rStyle w:val="Appelnotedebasdep"/>
          <w:rtl/>
        </w:rPr>
        <w:footnoteReference w:id="25"/>
      </w:r>
      <w:r>
        <w:rPr>
          <w:rFonts w:hint="cs"/>
          <w:rtl/>
        </w:rPr>
        <w:t xml:space="preserve">، لذا فهذا الركن محل </w:t>
      </w:r>
      <w:proofErr w:type="spellStart"/>
      <w:r>
        <w:rPr>
          <w:rFonts w:hint="cs"/>
          <w:rtl/>
        </w:rPr>
        <w:t>إتفاق</w:t>
      </w:r>
      <w:proofErr w:type="spellEnd"/>
      <w:r>
        <w:rPr>
          <w:rFonts w:hint="cs"/>
          <w:rtl/>
        </w:rPr>
        <w:t xml:space="preserve"> بين جمهور الفقهاء</w:t>
      </w:r>
      <w:r>
        <w:rPr>
          <w:rStyle w:val="Appelnotedebasdep"/>
          <w:rtl/>
        </w:rPr>
        <w:footnoteReference w:id="26"/>
      </w:r>
      <w:r>
        <w:rPr>
          <w:rFonts w:hint="cs"/>
          <w:rtl/>
        </w:rPr>
        <w:t>.</w:t>
      </w:r>
    </w:p>
    <w:p w:rsidR="00562CF7" w:rsidRDefault="00562CF7" w:rsidP="008A5D2D">
      <w:pPr>
        <w:spacing w:after="0" w:line="360" w:lineRule="auto"/>
        <w:ind w:firstLine="566"/>
        <w:jc w:val="both"/>
        <w:rPr>
          <w:rtl/>
        </w:rPr>
      </w:pPr>
    </w:p>
    <w:p w:rsidR="00562CF7" w:rsidRDefault="00562CF7" w:rsidP="008A5D2D">
      <w:pPr>
        <w:spacing w:after="0" w:line="360" w:lineRule="auto"/>
        <w:ind w:firstLine="567"/>
        <w:jc w:val="both"/>
        <w:outlineLvl w:val="2"/>
        <w:rPr>
          <w:rtl/>
        </w:rPr>
      </w:pPr>
      <w:bookmarkStart w:id="26" w:name="_Toc461013595"/>
      <w:r w:rsidRPr="00127E82">
        <w:rPr>
          <w:rFonts w:hint="cs"/>
          <w:b/>
          <w:bCs/>
          <w:rtl/>
        </w:rPr>
        <w:lastRenderedPageBreak/>
        <w:t>الفرع الثاني:</w:t>
      </w:r>
      <w:r>
        <w:rPr>
          <w:rFonts w:hint="cs"/>
          <w:rtl/>
        </w:rPr>
        <w:t xml:space="preserve"> التراضي في القانون الجزائري</w:t>
      </w:r>
      <w:bookmarkEnd w:id="26"/>
    </w:p>
    <w:p w:rsidR="00562CF7" w:rsidRDefault="00562CF7" w:rsidP="008A5D2D">
      <w:pPr>
        <w:spacing w:after="0" w:line="360" w:lineRule="auto"/>
        <w:ind w:firstLine="566"/>
        <w:jc w:val="both"/>
        <w:rPr>
          <w:rtl/>
        </w:rPr>
      </w:pPr>
      <w:r>
        <w:rPr>
          <w:rFonts w:hint="cs"/>
          <w:rtl/>
        </w:rPr>
        <w:t>نص المشرع الجزائري في القانون المدني في المواد 466 و464 على أن الصلح لا يتجزأ لأن بطلان جزء منه يقتضي بطلان العقد كله، وهاته الحالة إذا كان القبول غير مطابق للإيجاب فلا يجوز قبوله جزئياً، كما يمكن أن يكون القبول ضمنياً وذلك باتخاذ موقف يدل على المقصود، كما نص أيضا في المادة 460 في القانون المدني الجزائري أنه لابد أن يكون المصالح أهلاً للتصرف بعوض في الحقوق التي يشملها عقد الصلح، كذلك نص في المادة 100 من قانون الأسرة الجزائري أنه يمكن أن يبرم القيم على المحجور عليه الصلح، فتكون سلطة القيم في الصلح كسلطة الولي، كما يجوز للقيم إبرام عقد الصلح بالنيابة عن المحجور عليه، وذلك في حدود سلطته</w:t>
      </w:r>
      <w:r>
        <w:rPr>
          <w:rStyle w:val="Appelnotedebasdep"/>
          <w:rtl/>
        </w:rPr>
        <w:footnoteReference w:id="27"/>
      </w:r>
      <w:r>
        <w:rPr>
          <w:rFonts w:hint="cs"/>
          <w:rtl/>
        </w:rPr>
        <w:t>.</w:t>
      </w:r>
    </w:p>
    <w:p w:rsidR="00562CF7" w:rsidRPr="00DB5E8C" w:rsidRDefault="00562CF7" w:rsidP="008A5D2D">
      <w:pPr>
        <w:spacing w:after="0" w:line="360" w:lineRule="auto"/>
        <w:ind w:firstLine="566"/>
        <w:jc w:val="both"/>
      </w:pPr>
      <w:r>
        <w:rPr>
          <w:rFonts w:hint="cs"/>
          <w:rtl/>
        </w:rPr>
        <w:t xml:space="preserve">كما يمكن للوكيل أن يبرم عقد الصلح نيابة عن الموكل بصفة عامة، فإن العقد الذي يبرمه الوكيل لا يكون </w:t>
      </w:r>
      <w:r w:rsidRPr="00642AF0">
        <w:rPr>
          <w:rFonts w:hint="cs"/>
          <w:rtl/>
        </w:rPr>
        <w:t>صحيحاً إلا إذا كان بناء على إذن خاص ووكالة خاصة من الموكل</w:t>
      </w:r>
      <w:r>
        <w:rPr>
          <w:rFonts w:hint="cs"/>
          <w:rtl/>
        </w:rPr>
        <w:t>،  مادام الصلح تصرفاً مالياً، وهذا ما نصت عليه المادة 574 من القانون المدني الجزائري.</w:t>
      </w:r>
    </w:p>
    <w:p w:rsidR="00562CF7" w:rsidRDefault="00562CF7" w:rsidP="008A5D2D">
      <w:pPr>
        <w:spacing w:after="0" w:line="360" w:lineRule="auto"/>
        <w:ind w:firstLine="567"/>
        <w:jc w:val="both"/>
        <w:outlineLvl w:val="1"/>
        <w:rPr>
          <w:rtl/>
        </w:rPr>
      </w:pPr>
      <w:bookmarkStart w:id="27" w:name="_Toc461013596"/>
      <w:r>
        <w:rPr>
          <w:rFonts w:hint="cs"/>
          <w:b/>
          <w:bCs/>
          <w:rtl/>
        </w:rPr>
        <w:t>المطلب الثاني</w:t>
      </w:r>
      <w:r>
        <w:rPr>
          <w:rFonts w:hint="cs"/>
          <w:rtl/>
        </w:rPr>
        <w:t>: المحل في عقد الصلح</w:t>
      </w:r>
      <w:bookmarkEnd w:id="27"/>
    </w:p>
    <w:p w:rsidR="00562CF7" w:rsidRDefault="00562CF7" w:rsidP="008A5D2D">
      <w:pPr>
        <w:spacing w:after="0" w:line="360" w:lineRule="auto"/>
        <w:ind w:firstLine="566"/>
        <w:jc w:val="both"/>
        <w:rPr>
          <w:rtl/>
        </w:rPr>
      </w:pPr>
      <w:r>
        <w:rPr>
          <w:rFonts w:hint="cs"/>
          <w:rtl/>
        </w:rPr>
        <w:t>المحل هو الركن الأساسي الثاني لقيام العقود كلها، وهو ركن في الالتزام بصورة خاصة ويعبر عنه كركن للعقد كله، وهذا ما سيتم توضيحه في هذا المطلب.</w:t>
      </w:r>
    </w:p>
    <w:p w:rsidR="008A5D2D" w:rsidRDefault="008A5D2D" w:rsidP="008A5D2D">
      <w:pPr>
        <w:spacing w:after="0" w:line="360" w:lineRule="auto"/>
        <w:ind w:firstLine="567"/>
        <w:jc w:val="both"/>
        <w:outlineLvl w:val="2"/>
        <w:rPr>
          <w:b/>
          <w:bCs/>
          <w:rtl/>
        </w:rPr>
      </w:pPr>
    </w:p>
    <w:p w:rsidR="00562CF7" w:rsidRDefault="00562CF7" w:rsidP="008A5D2D">
      <w:pPr>
        <w:spacing w:after="0" w:line="360" w:lineRule="auto"/>
        <w:ind w:firstLine="567"/>
        <w:jc w:val="both"/>
        <w:outlineLvl w:val="2"/>
        <w:rPr>
          <w:rtl/>
        </w:rPr>
      </w:pPr>
      <w:bookmarkStart w:id="28" w:name="_Toc461013597"/>
      <w:r>
        <w:rPr>
          <w:rFonts w:hint="cs"/>
          <w:b/>
          <w:bCs/>
          <w:rtl/>
        </w:rPr>
        <w:lastRenderedPageBreak/>
        <w:t>الفرع الأول</w:t>
      </w:r>
      <w:r>
        <w:rPr>
          <w:rFonts w:hint="cs"/>
          <w:rtl/>
        </w:rPr>
        <w:t>: المحل في الفقه الإسلامي</w:t>
      </w:r>
      <w:bookmarkEnd w:id="28"/>
    </w:p>
    <w:p w:rsidR="00562CF7" w:rsidRDefault="00562CF7" w:rsidP="008A5D2D">
      <w:pPr>
        <w:spacing w:after="0" w:line="360" w:lineRule="auto"/>
        <w:ind w:firstLine="566"/>
        <w:jc w:val="both"/>
        <w:rPr>
          <w:rtl/>
        </w:rPr>
      </w:pPr>
      <w:r>
        <w:rPr>
          <w:rFonts w:hint="cs"/>
          <w:rtl/>
        </w:rPr>
        <w:t>محل الصلح هو الحق المتنازع عليه ونزول كل من الطرفين عن جزء من حقه، وقد يكون عيناً أو ديناً أو منفعة أو حقاً من الحقوق ليس بعين ولا دين ولا منفعة ويطلق عليه المصالح عنه، وكذا لابد من توافر الشروط الواجبة في المحل بوجه عام، فلا يجوز أن يكون مخالفاً للنظام العام، ويشترط لصحة محل الصلح أن يكون موجوداً فعلاً وقت التعاقد، فإن لم يكن موجوداً فالعقد باطل حتى ولو كان المحل محقق أو محتمل الوجود في المستقبل، وبناء على ذلك لا ينعقد الصلح عن المعدوم، ويتفق المذهب الشافعي والحنبلي والمالكي في اشتراط هذا الشرط، وهو أن يكون المحل موجوداً وقت التعاقد</w:t>
      </w:r>
      <w:r>
        <w:rPr>
          <w:rStyle w:val="Appelnotedebasdep"/>
          <w:rtl/>
        </w:rPr>
        <w:footnoteReference w:id="28"/>
      </w:r>
      <w:r>
        <w:rPr>
          <w:rFonts w:hint="cs"/>
          <w:rtl/>
        </w:rPr>
        <w:t xml:space="preserve">، أما فقهاء المذهب الحنفي فلم </w:t>
      </w:r>
      <w:proofErr w:type="spellStart"/>
      <w:r>
        <w:rPr>
          <w:rFonts w:hint="cs"/>
          <w:rtl/>
        </w:rPr>
        <w:t>يشترطوا</w:t>
      </w:r>
      <w:proofErr w:type="spellEnd"/>
      <w:r>
        <w:rPr>
          <w:rFonts w:hint="cs"/>
          <w:rtl/>
        </w:rPr>
        <w:t xml:space="preserve"> هذا الشرط بل عددوا شرطا واحدا</w:t>
      </w:r>
      <w:r>
        <w:rPr>
          <w:rStyle w:val="Appelnotedebasdep"/>
          <w:rtl/>
        </w:rPr>
        <w:footnoteReference w:id="29"/>
      </w:r>
      <w:r>
        <w:rPr>
          <w:rFonts w:hint="cs"/>
          <w:rtl/>
        </w:rPr>
        <w:t>.</w:t>
      </w:r>
    </w:p>
    <w:p w:rsidR="00562CF7" w:rsidRDefault="00562CF7" w:rsidP="008A5D2D">
      <w:pPr>
        <w:spacing w:after="0" w:line="360" w:lineRule="auto"/>
        <w:ind w:firstLine="566"/>
        <w:jc w:val="both"/>
        <w:rPr>
          <w:rtl/>
        </w:rPr>
      </w:pPr>
      <w:r>
        <w:rPr>
          <w:rFonts w:hint="cs"/>
          <w:rtl/>
        </w:rPr>
        <w:t>كذلك لابد أن يكون المحل حقاً من الحقوق التي يجوز التصرف فيها، أي من الحقوق للعباد لا لله تعالى، فالصلح على حق من حقوق الله باطل ولابد أن يكون المصالح عنه معلوماً إذا كان يحتاج إلى القبض أو التسليم، فإن لم يكن يحتاج إلى القبض أو التسليم فيجوز أن يكون مجهو</w:t>
      </w:r>
      <w:r w:rsidRPr="006D7AC1">
        <w:rPr>
          <w:rFonts w:hint="cs"/>
          <w:rtl/>
        </w:rPr>
        <w:t>لا</w:t>
      </w:r>
      <w:r>
        <w:rPr>
          <w:rFonts w:hint="cs"/>
          <w:rtl/>
        </w:rPr>
        <w:t>، وأن يكون المصالح عنه حقاً للمصالح، وإلا كان باطلاً.</w:t>
      </w:r>
    </w:p>
    <w:p w:rsidR="00562CF7" w:rsidRDefault="00562CF7" w:rsidP="008A5D2D">
      <w:pPr>
        <w:spacing w:after="0" w:line="360" w:lineRule="auto"/>
        <w:ind w:firstLine="566"/>
        <w:jc w:val="both"/>
        <w:rPr>
          <w:rtl/>
        </w:rPr>
      </w:pPr>
      <w:r>
        <w:rPr>
          <w:rFonts w:hint="cs"/>
          <w:rtl/>
        </w:rPr>
        <w:lastRenderedPageBreak/>
        <w:t>وكذلك أن يكون المصالح عنه حقاً ثابتاً للمصالح في المحل، وعلى ذلك مما لا يكون حقاً له أو لا يكون حقاً ثابتاً له في المحل لا يجوز الصلح عنه</w:t>
      </w:r>
      <w:r>
        <w:rPr>
          <w:rStyle w:val="Appelnotedebasdep"/>
          <w:rtl/>
        </w:rPr>
        <w:footnoteReference w:id="30"/>
      </w:r>
      <w:r>
        <w:rPr>
          <w:rFonts w:hint="cs"/>
          <w:rtl/>
        </w:rPr>
        <w:t>.</w:t>
      </w:r>
    </w:p>
    <w:p w:rsidR="00562CF7" w:rsidRDefault="00562CF7" w:rsidP="008A5D2D">
      <w:pPr>
        <w:spacing w:after="0" w:line="360" w:lineRule="auto"/>
        <w:ind w:firstLine="566"/>
        <w:jc w:val="both"/>
        <w:outlineLvl w:val="2"/>
        <w:rPr>
          <w:rtl/>
        </w:rPr>
      </w:pPr>
      <w:bookmarkStart w:id="29" w:name="_Toc461013598"/>
      <w:r>
        <w:rPr>
          <w:rFonts w:hint="cs"/>
          <w:b/>
          <w:bCs/>
          <w:rtl/>
        </w:rPr>
        <w:t>الفرع الثاني</w:t>
      </w:r>
      <w:r>
        <w:rPr>
          <w:rFonts w:hint="cs"/>
          <w:rtl/>
        </w:rPr>
        <w:t>: المحل في القانون الجزائري</w:t>
      </w:r>
      <w:bookmarkEnd w:id="29"/>
    </w:p>
    <w:p w:rsidR="00562CF7" w:rsidRDefault="00562CF7" w:rsidP="008A5D2D">
      <w:pPr>
        <w:spacing w:after="0" w:line="360" w:lineRule="auto"/>
        <w:ind w:firstLine="566"/>
        <w:jc w:val="both"/>
        <w:rPr>
          <w:rtl/>
        </w:rPr>
      </w:pPr>
      <w:r>
        <w:rPr>
          <w:rFonts w:hint="cs"/>
          <w:rtl/>
        </w:rPr>
        <w:t>اشترط القانون الجزائري أن يكون الحق المتنازع عنه بدرجة أولى موجوداً وقت إبرام الصلح، فيجب أن يكون الحق العيني موجوداً وقت نشوء الالتزام الناتج عن عقد الصلح وبدرجة ثانية أن يكون محل الصلح ممكن الوجود في المستقبل بشرط الاتفاق عليه في العقد، وهذا ما نصت عليه المادة 92 من القانون المدني الجزائري، وكذا يستثنى من قابلية وجود المحل التعامل في أموال شخص آخر بنية موته، ففي هذه الحالة سواء كان الالتزام بالقيام بعمل أو الامتناع عن العمل فإنه يجب أن يكون هناك وجود للمحل أو قابلية وجود على الأقل، كما نص أيضاً في المادة 93 من القانون المدني الجزائري أن الاستحالة المطلقة للحق المتنازع حوله تجعل من الصلح باطلاً مطلقاً لأنه لا التزام بالمستقبل، كذلك نص في المادة 94/01 من القانون المدني الجزائري أنه لابد أن يكون المحل معيناً أو قابلاً للتعيين، فلابد أن يكون المحل التزاما معيناً بذاته وإلا كان العقد باطلاً، فلابد أن يكون محل الالتزام لعقد الصلح معيناً أو ممكن التعيين مستقبلاً وإلا كان الصلح باطلاً بطلاناً مطلقاً.</w:t>
      </w:r>
    </w:p>
    <w:p w:rsidR="00562CF7" w:rsidRDefault="00562CF7" w:rsidP="008A5D2D">
      <w:pPr>
        <w:spacing w:after="0" w:line="312" w:lineRule="auto"/>
        <w:ind w:firstLine="567"/>
        <w:jc w:val="both"/>
        <w:rPr>
          <w:rtl/>
        </w:rPr>
      </w:pPr>
      <w:r>
        <w:rPr>
          <w:rFonts w:hint="cs"/>
          <w:rtl/>
        </w:rPr>
        <w:lastRenderedPageBreak/>
        <w:t xml:space="preserve">كما نص أيضاً في المادة 93 </w:t>
      </w:r>
      <w:r w:rsidRPr="00515952">
        <w:rPr>
          <w:rFonts w:hint="cs"/>
          <w:rtl/>
        </w:rPr>
        <w:t>من القانون المدني الجزائري أنه لابد أن يكون محل الصلح مشروعاً وقابلاً للتعامل فيه، فيعتبر مشروعاً في حين موافقته وعدم مساسه بمبادئ وقواعد النظام العام والآداب العامة</w:t>
      </w:r>
      <w:r>
        <w:rPr>
          <w:rStyle w:val="Appelnotedebasdep"/>
          <w:rtl/>
        </w:rPr>
        <w:footnoteReference w:id="31"/>
      </w:r>
      <w:r w:rsidRPr="00515952">
        <w:rPr>
          <w:rFonts w:hint="cs"/>
          <w:rtl/>
        </w:rPr>
        <w:t>.</w:t>
      </w:r>
    </w:p>
    <w:p w:rsidR="00562CF7" w:rsidRDefault="00562CF7" w:rsidP="008A5D2D">
      <w:pPr>
        <w:spacing w:after="0" w:line="312" w:lineRule="auto"/>
        <w:ind w:firstLine="567"/>
        <w:jc w:val="both"/>
        <w:outlineLvl w:val="1"/>
        <w:rPr>
          <w:rtl/>
        </w:rPr>
      </w:pPr>
      <w:bookmarkStart w:id="30" w:name="_Toc461013599"/>
      <w:r w:rsidRPr="00D65AF5">
        <w:rPr>
          <w:rFonts w:hint="cs"/>
          <w:b/>
          <w:bCs/>
          <w:rtl/>
        </w:rPr>
        <w:t>المطلب الثالث:</w:t>
      </w:r>
      <w:r>
        <w:rPr>
          <w:rFonts w:hint="cs"/>
          <w:rtl/>
        </w:rPr>
        <w:t xml:space="preserve"> السبب في عقد الصلح</w:t>
      </w:r>
      <w:bookmarkEnd w:id="30"/>
    </w:p>
    <w:p w:rsidR="00562CF7" w:rsidRDefault="00562CF7" w:rsidP="008A5D2D">
      <w:pPr>
        <w:spacing w:after="0" w:line="312" w:lineRule="auto"/>
        <w:ind w:firstLine="567"/>
        <w:jc w:val="both"/>
        <w:rPr>
          <w:rtl/>
        </w:rPr>
      </w:pPr>
      <w:r w:rsidRPr="00980235">
        <w:rPr>
          <w:rFonts w:hint="cs"/>
          <w:rtl/>
        </w:rPr>
        <w:t xml:space="preserve">السبب هو الغرض المباشر </w:t>
      </w:r>
      <w:r>
        <w:rPr>
          <w:rFonts w:hint="cs"/>
          <w:rtl/>
        </w:rPr>
        <w:t>الذي يقصد به التعاقد في عقد من العقود من وراء التزامه فيكون سبب التزام كل متصالح هو نزول المتصالح الآخر عن جزء من ادعائه، أما السبب في عقد الصلح وفق النظرية الحديثة هو البعث والدافع للمتصالحين على إبرام الصلح</w:t>
      </w:r>
      <w:r>
        <w:rPr>
          <w:rStyle w:val="Appelnotedebasdep"/>
          <w:rtl/>
        </w:rPr>
        <w:footnoteReference w:id="32"/>
      </w:r>
      <w:r>
        <w:rPr>
          <w:rFonts w:hint="cs"/>
          <w:rtl/>
        </w:rPr>
        <w:t>.</w:t>
      </w:r>
    </w:p>
    <w:p w:rsidR="00562CF7" w:rsidRDefault="00562CF7" w:rsidP="008A5D2D">
      <w:pPr>
        <w:spacing w:after="0" w:line="312" w:lineRule="auto"/>
        <w:ind w:firstLine="567"/>
        <w:jc w:val="both"/>
        <w:outlineLvl w:val="2"/>
        <w:rPr>
          <w:rtl/>
        </w:rPr>
      </w:pPr>
      <w:bookmarkStart w:id="31" w:name="_Toc461013600"/>
      <w:r>
        <w:rPr>
          <w:rFonts w:hint="cs"/>
          <w:b/>
          <w:bCs/>
          <w:rtl/>
        </w:rPr>
        <w:t>الفرع الأول:</w:t>
      </w:r>
      <w:r w:rsidRPr="00127E82">
        <w:rPr>
          <w:rFonts w:hint="cs"/>
          <w:rtl/>
        </w:rPr>
        <w:t xml:space="preserve"> رفع النزاع كسبب لعقد الصلح</w:t>
      </w:r>
      <w:bookmarkEnd w:id="31"/>
    </w:p>
    <w:p w:rsidR="00562CF7" w:rsidRPr="00127E82" w:rsidRDefault="00562CF7" w:rsidP="008A5D2D">
      <w:pPr>
        <w:spacing w:after="0" w:line="312" w:lineRule="auto"/>
        <w:jc w:val="both"/>
        <w:rPr>
          <w:rtl/>
        </w:rPr>
      </w:pPr>
      <w:r>
        <w:rPr>
          <w:rFonts w:hint="cs"/>
          <w:rtl/>
        </w:rPr>
        <w:t xml:space="preserve"> فهذا يعتبر الغرض المباشر أو السبب المباشر لعقد الصلح، إذ أنه سطحي ويأخذ بظواهر الأشياء دون التعمق، إذ أن ما يسعى إليه عقد الصلح غايات أخرى أبعد من مجرد إنهاء النزاع.</w:t>
      </w:r>
    </w:p>
    <w:p w:rsidR="00562CF7" w:rsidRDefault="00562CF7" w:rsidP="008A5D2D">
      <w:pPr>
        <w:spacing w:after="0" w:line="312" w:lineRule="auto"/>
        <w:ind w:firstLine="720"/>
        <w:jc w:val="both"/>
        <w:outlineLvl w:val="2"/>
        <w:rPr>
          <w:rtl/>
        </w:rPr>
      </w:pPr>
      <w:bookmarkStart w:id="32" w:name="_Toc461013601"/>
      <w:r>
        <w:rPr>
          <w:rFonts w:hint="cs"/>
          <w:b/>
          <w:bCs/>
          <w:rtl/>
        </w:rPr>
        <w:t xml:space="preserve">الفرع الثاني: </w:t>
      </w:r>
      <w:r w:rsidRPr="00127E82">
        <w:rPr>
          <w:rFonts w:hint="cs"/>
          <w:rtl/>
        </w:rPr>
        <w:t>تنا</w:t>
      </w:r>
      <w:r>
        <w:rPr>
          <w:rFonts w:hint="cs"/>
          <w:rtl/>
        </w:rPr>
        <w:t xml:space="preserve">زل المصالح عن جزء من حقوقه سبب </w:t>
      </w:r>
      <w:r w:rsidRPr="00127E82">
        <w:rPr>
          <w:rFonts w:hint="cs"/>
          <w:rtl/>
        </w:rPr>
        <w:t>لالتزام المصالح الآخر</w:t>
      </w:r>
      <w:bookmarkEnd w:id="32"/>
    </w:p>
    <w:p w:rsidR="00562CF7" w:rsidRDefault="00562CF7" w:rsidP="008A5D2D">
      <w:pPr>
        <w:spacing w:after="0" w:line="312" w:lineRule="auto"/>
        <w:jc w:val="both"/>
        <w:rPr>
          <w:rtl/>
        </w:rPr>
      </w:pPr>
      <w:r>
        <w:rPr>
          <w:rFonts w:hint="cs"/>
          <w:rtl/>
        </w:rPr>
        <w:t xml:space="preserve"> فسبب التزام المتصالح هو تنازل المتصالح الآخر عن جزء من حقوقه أو ادعاءاته، فالنظرية التقليدية تعتمد في عقد الصلح على المعاوضة في البيع، لأن هذا الأخير يقيم النزاعات في ذمة الطرفين</w:t>
      </w:r>
      <w:r>
        <w:rPr>
          <w:rStyle w:val="Appelnotedebasdep"/>
          <w:rtl/>
        </w:rPr>
        <w:footnoteReference w:id="33"/>
      </w:r>
      <w:r>
        <w:rPr>
          <w:rFonts w:hint="cs"/>
          <w:rtl/>
        </w:rPr>
        <w:t>.</w:t>
      </w:r>
    </w:p>
    <w:p w:rsidR="00562CF7" w:rsidRDefault="00562CF7" w:rsidP="008A5D2D">
      <w:pPr>
        <w:spacing w:after="0" w:line="312" w:lineRule="auto"/>
        <w:ind w:firstLine="567"/>
        <w:jc w:val="both"/>
        <w:rPr>
          <w:rtl/>
        </w:rPr>
      </w:pPr>
      <w:r>
        <w:rPr>
          <w:rFonts w:hint="cs"/>
          <w:rtl/>
        </w:rPr>
        <w:t xml:space="preserve">والمشرع نص في المادة 97 من القانون المدني أنه التزام التعاقد لسبب غير مشروع ومخالف للنظام العام والآداب العامة كان العقد باطلاً، وكذا نص في المادة 98 من القانون </w:t>
      </w:r>
      <w:r>
        <w:rPr>
          <w:rFonts w:hint="cs"/>
          <w:rtl/>
        </w:rPr>
        <w:lastRenderedPageBreak/>
        <w:t>المدني على أن السبب المذكور في العقد هو السبب الحقيقي حتى يقوم الدليل على ما يخالف ذلك، فإذا قام الدليل على صورية السبب فعلى من يدعي أن للالتزام سبباً آخر مشروعاً أن يثبت ما يدعيه.</w:t>
      </w:r>
    </w:p>
    <w:p w:rsidR="00562CF7" w:rsidRDefault="00562CF7" w:rsidP="003F26AB">
      <w:pPr>
        <w:spacing w:after="0" w:line="360" w:lineRule="auto"/>
        <w:ind w:firstLine="567"/>
        <w:jc w:val="center"/>
        <w:outlineLvl w:val="0"/>
        <w:rPr>
          <w:rtl/>
        </w:rPr>
      </w:pPr>
      <w:bookmarkStart w:id="33" w:name="_Toc461013602"/>
      <w:r>
        <w:rPr>
          <w:rFonts w:hint="cs"/>
          <w:b/>
          <w:bCs/>
          <w:rtl/>
        </w:rPr>
        <w:t>المبحث الثالث</w:t>
      </w:r>
      <w:r>
        <w:rPr>
          <w:rFonts w:hint="cs"/>
          <w:rtl/>
        </w:rPr>
        <w:t>: خصائص عقد الصلح</w:t>
      </w:r>
      <w:bookmarkEnd w:id="33"/>
      <w:r w:rsidR="003F26AB">
        <w:rPr>
          <w:rFonts w:hint="cs"/>
          <w:rtl/>
        </w:rPr>
        <w:t xml:space="preserve"> في الفقه الإسلامي والقانون الجزائري والمقارنة بينهما</w:t>
      </w:r>
    </w:p>
    <w:p w:rsidR="00562CF7" w:rsidRDefault="00562CF7" w:rsidP="008A5D2D">
      <w:pPr>
        <w:spacing w:after="0" w:line="360" w:lineRule="auto"/>
        <w:ind w:firstLine="566"/>
        <w:jc w:val="both"/>
        <w:rPr>
          <w:rtl/>
        </w:rPr>
      </w:pPr>
      <w:r>
        <w:rPr>
          <w:rFonts w:hint="cs"/>
          <w:rtl/>
        </w:rPr>
        <w:t>يتميز عقد الصلح بعدة خصائص مثله مثل العقود الأخرى، بعضها يشترك مع باقي العقود فيها، وبعضها ينفرد بها، وهذا ما سيتم توضيحه في هذا المبحث.</w:t>
      </w:r>
    </w:p>
    <w:p w:rsidR="00562CF7" w:rsidRDefault="00562CF7" w:rsidP="008A5D2D">
      <w:pPr>
        <w:spacing w:after="0" w:line="360" w:lineRule="auto"/>
        <w:ind w:firstLine="567"/>
        <w:jc w:val="both"/>
        <w:outlineLvl w:val="1"/>
        <w:rPr>
          <w:rtl/>
        </w:rPr>
      </w:pPr>
      <w:bookmarkStart w:id="34" w:name="_Toc461013603"/>
      <w:r>
        <w:rPr>
          <w:rFonts w:hint="cs"/>
          <w:b/>
          <w:bCs/>
          <w:rtl/>
        </w:rPr>
        <w:t>المطلب الأول</w:t>
      </w:r>
      <w:r>
        <w:rPr>
          <w:rFonts w:hint="cs"/>
          <w:rtl/>
        </w:rPr>
        <w:t>: خصائص عقد الصلح في الفقه الإسلامي</w:t>
      </w:r>
      <w:bookmarkEnd w:id="34"/>
      <w:r w:rsidR="003F26AB">
        <w:rPr>
          <w:rFonts w:hint="cs"/>
          <w:rtl/>
        </w:rPr>
        <w:t xml:space="preserve"> </w:t>
      </w:r>
    </w:p>
    <w:p w:rsidR="00562CF7" w:rsidRDefault="00562CF7" w:rsidP="008A5D2D">
      <w:pPr>
        <w:spacing w:after="0" w:line="360" w:lineRule="auto"/>
        <w:ind w:firstLine="566"/>
        <w:jc w:val="both"/>
        <w:rPr>
          <w:rtl/>
        </w:rPr>
      </w:pPr>
      <w:r>
        <w:rPr>
          <w:rFonts w:hint="cs"/>
          <w:rtl/>
        </w:rPr>
        <w:t>لعقد الصلح في الفقه الاسلامي عدة خصائص يتميز بها عن غيره من العقود.</w:t>
      </w:r>
    </w:p>
    <w:p w:rsidR="00562CF7" w:rsidRDefault="00562CF7" w:rsidP="008A5D2D">
      <w:pPr>
        <w:spacing w:after="0" w:line="360" w:lineRule="auto"/>
        <w:ind w:firstLine="567"/>
        <w:jc w:val="both"/>
        <w:outlineLvl w:val="2"/>
        <w:rPr>
          <w:rtl/>
        </w:rPr>
      </w:pPr>
      <w:bookmarkStart w:id="35" w:name="_Toc461013604"/>
      <w:r>
        <w:rPr>
          <w:rFonts w:hint="cs"/>
          <w:b/>
          <w:bCs/>
          <w:rtl/>
        </w:rPr>
        <w:t>الفرع الأول</w:t>
      </w:r>
      <w:r>
        <w:rPr>
          <w:rFonts w:hint="cs"/>
          <w:rtl/>
        </w:rPr>
        <w:t>: الصلح عقد من عقود المعاوضة</w:t>
      </w:r>
      <w:bookmarkEnd w:id="35"/>
    </w:p>
    <w:p w:rsidR="00562CF7" w:rsidRDefault="00562CF7" w:rsidP="008A5D2D">
      <w:pPr>
        <w:spacing w:after="0" w:line="360" w:lineRule="auto"/>
        <w:ind w:firstLine="566"/>
        <w:jc w:val="both"/>
        <w:rPr>
          <w:rtl/>
        </w:rPr>
      </w:pPr>
      <w:r>
        <w:rPr>
          <w:rFonts w:hint="cs"/>
          <w:rtl/>
        </w:rPr>
        <w:t>فلا أحد يتبرع للآخر من المتصالحين وإنما يتنازل كل منهما عن جزء من ادعاءه بمقابل وينطبق هذا على الصلح بالإقرار والإنكار والسكوت في حق المدعي</w:t>
      </w:r>
      <w:r>
        <w:rPr>
          <w:rStyle w:val="Appelnotedebasdep"/>
          <w:rtl/>
        </w:rPr>
        <w:footnoteReference w:id="34"/>
      </w:r>
      <w:r>
        <w:rPr>
          <w:rFonts w:hint="cs"/>
          <w:rtl/>
        </w:rPr>
        <w:t>.</w:t>
      </w:r>
    </w:p>
    <w:p w:rsidR="00562CF7" w:rsidRDefault="00562CF7" w:rsidP="008A5D2D">
      <w:pPr>
        <w:spacing w:after="0" w:line="360" w:lineRule="auto"/>
        <w:ind w:firstLine="566"/>
        <w:jc w:val="both"/>
        <w:rPr>
          <w:rtl/>
        </w:rPr>
      </w:pPr>
      <w:r>
        <w:rPr>
          <w:rFonts w:hint="cs"/>
          <w:rtl/>
        </w:rPr>
        <w:t>مثلاً: الصلح عن الإنكار، كأن يدعي عليه داراً مثلاً فينكر ثم يتصالحا على ثوب أو دين</w:t>
      </w:r>
      <w:r>
        <w:rPr>
          <w:rStyle w:val="Appelnotedebasdep"/>
          <w:rtl/>
        </w:rPr>
        <w:footnoteReference w:id="35"/>
      </w:r>
      <w:r>
        <w:rPr>
          <w:rFonts w:hint="cs"/>
          <w:rtl/>
        </w:rPr>
        <w:t>.</w:t>
      </w:r>
    </w:p>
    <w:p w:rsidR="00562CF7" w:rsidRDefault="00562CF7" w:rsidP="008A5D2D">
      <w:pPr>
        <w:spacing w:after="0" w:line="360" w:lineRule="auto"/>
        <w:ind w:firstLine="566"/>
        <w:jc w:val="both"/>
        <w:rPr>
          <w:rtl/>
        </w:rPr>
      </w:pPr>
      <w:r>
        <w:rPr>
          <w:rFonts w:hint="cs"/>
          <w:rtl/>
        </w:rPr>
        <w:t xml:space="preserve">فإذا </w:t>
      </w:r>
      <w:proofErr w:type="spellStart"/>
      <w:r>
        <w:rPr>
          <w:rFonts w:hint="cs"/>
          <w:rtl/>
        </w:rPr>
        <w:t>إدعيا</w:t>
      </w:r>
      <w:proofErr w:type="spellEnd"/>
      <w:r>
        <w:rPr>
          <w:rFonts w:hint="cs"/>
          <w:rtl/>
        </w:rPr>
        <w:t xml:space="preserve"> شخصين أرضا في يد رجل بالإرث من أبيهما فجحد ذو اليد فصالحه احدهما على مائة لم يشاركه الآخر لأن الصلح معاوضة</w:t>
      </w:r>
      <w:r>
        <w:rPr>
          <w:rStyle w:val="Appelnotedebasdep"/>
          <w:rtl/>
        </w:rPr>
        <w:footnoteReference w:id="36"/>
      </w:r>
      <w:r>
        <w:rPr>
          <w:rFonts w:hint="cs"/>
          <w:rtl/>
        </w:rPr>
        <w:t xml:space="preserve">، أما المالكية فاعتبروا الصلح </w:t>
      </w:r>
      <w:r>
        <w:rPr>
          <w:rFonts w:hint="cs"/>
          <w:rtl/>
        </w:rPr>
        <w:lastRenderedPageBreak/>
        <w:t>معاوضة على دعوى ويجوز على الإقرار والإنكار والسكوت</w:t>
      </w:r>
      <w:r>
        <w:rPr>
          <w:rStyle w:val="Appelnotedebasdep"/>
          <w:rtl/>
        </w:rPr>
        <w:footnoteReference w:id="37"/>
      </w:r>
      <w:r>
        <w:rPr>
          <w:rFonts w:hint="cs"/>
          <w:rtl/>
        </w:rPr>
        <w:t xml:space="preserve">، فقد قال الشافعي رضي الله عنه "لو صالحه على دراهم بدنانير أو على دنانير بدراهم لم يجز القبض فإن قبض بعض وبقي بعض </w:t>
      </w:r>
      <w:proofErr w:type="spellStart"/>
      <w:r>
        <w:rPr>
          <w:rFonts w:hint="cs"/>
          <w:rtl/>
        </w:rPr>
        <w:t>وإنتقض</w:t>
      </w:r>
      <w:proofErr w:type="spellEnd"/>
      <w:r>
        <w:rPr>
          <w:rFonts w:hint="cs"/>
          <w:rtl/>
        </w:rPr>
        <w:t xml:space="preserve"> فيما لم يقبض إذا رضي بذلك المصالح القابض" لأن الدراهم عوضا عن الدنانير صرف يلزم فيه </w:t>
      </w:r>
      <w:proofErr w:type="spellStart"/>
      <w:r>
        <w:rPr>
          <w:rFonts w:hint="cs"/>
          <w:rtl/>
        </w:rPr>
        <w:t>التقابض</w:t>
      </w:r>
      <w:proofErr w:type="spellEnd"/>
      <w:r>
        <w:rPr>
          <w:rFonts w:hint="cs"/>
          <w:rtl/>
        </w:rPr>
        <w:t xml:space="preserve"> قبل </w:t>
      </w:r>
      <w:proofErr w:type="spellStart"/>
      <w:r>
        <w:rPr>
          <w:rFonts w:hint="cs"/>
          <w:rtl/>
        </w:rPr>
        <w:t>الإقتراض</w:t>
      </w:r>
      <w:proofErr w:type="spellEnd"/>
      <w:r>
        <w:rPr>
          <w:rStyle w:val="Appelnotedebasdep"/>
          <w:rtl/>
        </w:rPr>
        <w:footnoteReference w:id="38"/>
      </w:r>
      <w:r>
        <w:rPr>
          <w:rFonts w:hint="cs"/>
          <w:rtl/>
        </w:rPr>
        <w:t xml:space="preserve">. </w:t>
      </w:r>
    </w:p>
    <w:p w:rsidR="00562CF7" w:rsidRDefault="00562CF7" w:rsidP="008A5D2D">
      <w:pPr>
        <w:spacing w:after="0" w:line="360" w:lineRule="auto"/>
        <w:ind w:firstLine="567"/>
        <w:jc w:val="both"/>
        <w:outlineLvl w:val="2"/>
        <w:rPr>
          <w:rtl/>
        </w:rPr>
      </w:pPr>
      <w:bookmarkStart w:id="36" w:name="_Toc461013605"/>
      <w:r w:rsidRPr="00A63899">
        <w:rPr>
          <w:rFonts w:hint="cs"/>
          <w:b/>
          <w:bCs/>
          <w:rtl/>
        </w:rPr>
        <w:t>الفرع الثاني</w:t>
      </w:r>
      <w:r>
        <w:rPr>
          <w:rFonts w:hint="cs"/>
          <w:rtl/>
        </w:rPr>
        <w:t>: عقد الصلح عقد رضائي</w:t>
      </w:r>
      <w:bookmarkEnd w:id="36"/>
    </w:p>
    <w:p w:rsidR="00562CF7" w:rsidRDefault="00562CF7" w:rsidP="008A5D2D">
      <w:pPr>
        <w:spacing w:after="0" w:line="360" w:lineRule="auto"/>
        <w:ind w:firstLine="566"/>
        <w:jc w:val="both"/>
      </w:pPr>
      <w:r>
        <w:rPr>
          <w:rFonts w:hint="cs"/>
          <w:rtl/>
        </w:rPr>
        <w:t>لأنه يعتمد على اقتران الإيجاب والقبول، بمعنى تطابق الإرادتين، فبالتراضي ينعقد بينهما السبب الموجب لنقل حق أحدهما إلى الآخر بعوض أو بدون عوض</w:t>
      </w:r>
      <w:r>
        <w:rPr>
          <w:rStyle w:val="Appelnotedebasdep"/>
          <w:rtl/>
        </w:rPr>
        <w:footnoteReference w:id="39"/>
      </w:r>
      <w:r>
        <w:rPr>
          <w:rFonts w:hint="cs"/>
          <w:rtl/>
        </w:rPr>
        <w:t xml:space="preserve">. </w:t>
      </w:r>
    </w:p>
    <w:p w:rsidR="00562CF7" w:rsidRPr="00D22159" w:rsidRDefault="00562CF7" w:rsidP="008A5D2D">
      <w:pPr>
        <w:spacing w:after="0" w:line="360" w:lineRule="auto"/>
        <w:ind w:firstLine="566"/>
        <w:jc w:val="both"/>
        <w:rPr>
          <w:rtl/>
        </w:rPr>
      </w:pPr>
      <w:r>
        <w:rPr>
          <w:rFonts w:hint="cs"/>
          <w:rtl/>
        </w:rPr>
        <w:t xml:space="preserve">روي من طريق محمد بن داوود بن سفيان عن عبد الرزاق بن محمد عن الزهري عن عروة عن عائشة أم المؤمنين: </w:t>
      </w:r>
      <w:r>
        <w:rPr>
          <w:rtl/>
        </w:rPr>
        <w:t>«</w:t>
      </w:r>
      <w:r>
        <w:rPr>
          <w:rFonts w:hint="cs"/>
          <w:rtl/>
        </w:rPr>
        <w:t xml:space="preserve">أن رسول الله </w:t>
      </w:r>
      <w:r>
        <w:rPr>
          <w:rtl/>
        </w:rPr>
        <w:t>–</w:t>
      </w:r>
      <w:r>
        <w:rPr>
          <w:rFonts w:hint="cs"/>
          <w:rtl/>
        </w:rPr>
        <w:t xml:space="preserve">صلى الله عليه وسلم- بعث أبا جهم بن حذيفة مصدقا فلاجه رجل في صدقته، فضربه أبو جهم فشجه فأتوا رسول الله </w:t>
      </w:r>
      <w:r>
        <w:rPr>
          <w:rtl/>
        </w:rPr>
        <w:t>–</w:t>
      </w:r>
      <w:r>
        <w:rPr>
          <w:rFonts w:hint="cs"/>
          <w:rtl/>
        </w:rPr>
        <w:t xml:space="preserve">صلى الله عليه وسلم- فقالوا: القود يا رسول الله؟ فقل رسول الله </w:t>
      </w:r>
      <w:r>
        <w:rPr>
          <w:rtl/>
        </w:rPr>
        <w:t>–</w:t>
      </w:r>
      <w:r>
        <w:rPr>
          <w:rFonts w:hint="cs"/>
          <w:rtl/>
        </w:rPr>
        <w:t>صلى الله عليه وسلم- لكم كذا وكذا؟ فلم يرضوا، فقال: لكم كذا وكذا؟ فلم يرضوا، فقال: لكم كذا وكذا، فرضوا</w:t>
      </w:r>
      <w:r>
        <w:rPr>
          <w:rtl/>
        </w:rPr>
        <w:t>»</w:t>
      </w:r>
      <w:r>
        <w:rPr>
          <w:rFonts w:hint="cs"/>
          <w:rtl/>
        </w:rPr>
        <w:t xml:space="preserve"> فهذا الصلح على الشجة بما يتراضى به الفريقان</w:t>
      </w:r>
      <w:r>
        <w:rPr>
          <w:rStyle w:val="Appelnotedebasdep"/>
          <w:rtl/>
        </w:rPr>
        <w:footnoteReference w:id="40"/>
      </w:r>
      <w:r>
        <w:rPr>
          <w:rFonts w:hint="cs"/>
          <w:rtl/>
        </w:rPr>
        <w:t>.</w:t>
      </w:r>
    </w:p>
    <w:p w:rsidR="00A359FD" w:rsidRDefault="00A359FD" w:rsidP="003F26AB">
      <w:pPr>
        <w:spacing w:after="0" w:line="360" w:lineRule="auto"/>
        <w:jc w:val="both"/>
        <w:outlineLvl w:val="2"/>
        <w:rPr>
          <w:b/>
          <w:bCs/>
          <w:rtl/>
        </w:rPr>
      </w:pPr>
      <w:bookmarkStart w:id="37" w:name="_Toc461013606"/>
    </w:p>
    <w:p w:rsidR="00562CF7" w:rsidRDefault="00562CF7" w:rsidP="008A5D2D">
      <w:pPr>
        <w:spacing w:after="0" w:line="360" w:lineRule="auto"/>
        <w:ind w:firstLine="567"/>
        <w:jc w:val="both"/>
        <w:outlineLvl w:val="2"/>
        <w:rPr>
          <w:rtl/>
        </w:rPr>
      </w:pPr>
      <w:r>
        <w:rPr>
          <w:rFonts w:hint="cs"/>
          <w:b/>
          <w:bCs/>
          <w:rtl/>
        </w:rPr>
        <w:lastRenderedPageBreak/>
        <w:t>الفرع الثالث</w:t>
      </w:r>
      <w:r>
        <w:rPr>
          <w:rFonts w:hint="cs"/>
          <w:rtl/>
        </w:rPr>
        <w:t>: الصلح عقد ملزم للجانبين</w:t>
      </w:r>
      <w:bookmarkEnd w:id="37"/>
    </w:p>
    <w:p w:rsidR="00562CF7" w:rsidRDefault="00562CF7" w:rsidP="008A5D2D">
      <w:pPr>
        <w:spacing w:after="0" w:line="360" w:lineRule="auto"/>
        <w:ind w:firstLine="566"/>
        <w:jc w:val="both"/>
        <w:rPr>
          <w:rtl/>
        </w:rPr>
      </w:pPr>
      <w:r>
        <w:rPr>
          <w:rFonts w:hint="cs"/>
          <w:rtl/>
        </w:rPr>
        <w:t>وهو ما كان ملزماً لكل متعاقدين، فبموجب ذلك ليس لأحد المتعاقدين فسخ العقد، وإنما يجوز فسخه بالتراضي بينهما، لكن أورد الأستاذ سليم باز في شرحه لمجلة الأحكام العدلية ثلاثة استثناءات على القاعدة هي:</w:t>
      </w:r>
    </w:p>
    <w:p w:rsidR="00562CF7" w:rsidRDefault="00562CF7" w:rsidP="008A5D2D">
      <w:pPr>
        <w:spacing w:after="0" w:line="360" w:lineRule="auto"/>
        <w:ind w:firstLine="566"/>
        <w:jc w:val="both"/>
        <w:rPr>
          <w:rtl/>
        </w:rPr>
      </w:pPr>
      <w:r>
        <w:rPr>
          <w:rFonts w:hint="cs"/>
          <w:rtl/>
        </w:rPr>
        <w:t>- ادعى عليه مالاً فصالحه، ثم ظهر أن لا شيء عليه، بطل الصلح وللمدعى عليه فسخه.</w:t>
      </w:r>
    </w:p>
    <w:p w:rsidR="00562CF7" w:rsidRDefault="00562CF7" w:rsidP="008A5D2D">
      <w:pPr>
        <w:spacing w:after="0" w:line="360" w:lineRule="auto"/>
        <w:ind w:firstLine="566"/>
        <w:jc w:val="both"/>
        <w:rPr>
          <w:rtl/>
        </w:rPr>
      </w:pPr>
      <w:r>
        <w:rPr>
          <w:rFonts w:hint="cs"/>
          <w:rtl/>
        </w:rPr>
        <w:t>- ادعى عيباً في شيء اشتراه وأنكره البائع، فتصالحا على مال على أن يبرئ المشتري البائع من العيب، ثم ظهر أنه لم يكن عيباً أو كان ولكنه قد زال، فللبائع أن ينقض الصلح ويسترد البدل.</w:t>
      </w:r>
    </w:p>
    <w:p w:rsidR="00562CF7" w:rsidRPr="00A359FD" w:rsidRDefault="00562CF7" w:rsidP="00A359FD">
      <w:pPr>
        <w:spacing w:after="0" w:line="360" w:lineRule="auto"/>
        <w:ind w:firstLine="566"/>
        <w:jc w:val="both"/>
        <w:rPr>
          <w:rtl/>
        </w:rPr>
      </w:pPr>
      <w:r>
        <w:rPr>
          <w:rFonts w:hint="cs"/>
          <w:rtl/>
        </w:rPr>
        <w:t xml:space="preserve">- ضاع الحمل من </w:t>
      </w:r>
      <w:r w:rsidRPr="00654CA7">
        <w:rPr>
          <w:rFonts w:hint="cs"/>
          <w:rtl/>
        </w:rPr>
        <w:t>الأخير</w:t>
      </w:r>
      <w:r>
        <w:rPr>
          <w:rFonts w:hint="cs"/>
          <w:rtl/>
        </w:rPr>
        <w:t xml:space="preserve"> المشترك فصالح صاحبه على شيء، ثم وجد الحمل فلصاحبه أخذه وللأخير إبطال الصلح</w:t>
      </w:r>
      <w:r>
        <w:rPr>
          <w:rStyle w:val="Appelnotedebasdep"/>
          <w:rtl/>
        </w:rPr>
        <w:footnoteReference w:id="41"/>
      </w:r>
      <w:r>
        <w:rPr>
          <w:rFonts w:hint="cs"/>
          <w:rtl/>
        </w:rPr>
        <w:t xml:space="preserve">. </w:t>
      </w:r>
    </w:p>
    <w:p w:rsidR="00562CF7" w:rsidRDefault="00562CF7" w:rsidP="008A5D2D">
      <w:pPr>
        <w:spacing w:after="0" w:line="360" w:lineRule="auto"/>
        <w:ind w:firstLine="567"/>
        <w:jc w:val="both"/>
        <w:outlineLvl w:val="2"/>
        <w:rPr>
          <w:rtl/>
        </w:rPr>
      </w:pPr>
      <w:bookmarkStart w:id="38" w:name="_Toc461013607"/>
      <w:r>
        <w:rPr>
          <w:rFonts w:hint="cs"/>
          <w:b/>
          <w:bCs/>
          <w:rtl/>
        </w:rPr>
        <w:t>الفرع الرابع</w:t>
      </w:r>
      <w:r>
        <w:rPr>
          <w:rFonts w:hint="cs"/>
          <w:rtl/>
        </w:rPr>
        <w:t>: عقد الصلح عقد منجز</w:t>
      </w:r>
      <w:bookmarkEnd w:id="38"/>
    </w:p>
    <w:p w:rsidR="00562CF7" w:rsidRDefault="00562CF7" w:rsidP="008A5D2D">
      <w:pPr>
        <w:spacing w:after="0" w:line="360" w:lineRule="auto"/>
        <w:ind w:firstLine="566"/>
        <w:jc w:val="both"/>
        <w:rPr>
          <w:rtl/>
        </w:rPr>
      </w:pPr>
      <w:r>
        <w:rPr>
          <w:rFonts w:hint="cs"/>
          <w:rtl/>
        </w:rPr>
        <w:t xml:space="preserve">قد يكون منجزاً أو غير منجز، ويظهر ذلك في أن عقد الصلح قد يكون منجزاً إذا أنجز أثره في الحال، إذا ظهر أثره في وقت متأخر، كأن أضيف الحكم إلى زمن مستقبلي، أما إن كان الصلح في معنى الإجازة فإنه يجوز أن يكون مضافاً إلى أجل أو منجزاً، وكذلك يجوز أن يكون عقد الصلح معلقاً وغير معلق تبعاً لطبيعته، فإن تضمن الصلح إسقاطاً </w:t>
      </w:r>
      <w:r>
        <w:rPr>
          <w:rFonts w:hint="cs"/>
          <w:rtl/>
        </w:rPr>
        <w:lastRenderedPageBreak/>
        <w:t>كالإبراء من الدين فإنه يصح تعليقه على شرط، وإن كان الصلح بمعنى البيع أو الهبة فإنه لا يصح تعليقه لأنه بهذه الحالة يكون من عقود التمليك وعقود التمليك لا يصح تعليقها</w:t>
      </w:r>
      <w:r>
        <w:rPr>
          <w:rStyle w:val="Appelnotedebasdep"/>
          <w:rtl/>
        </w:rPr>
        <w:footnoteReference w:id="42"/>
      </w:r>
      <w:r>
        <w:rPr>
          <w:rFonts w:hint="cs"/>
          <w:rtl/>
        </w:rPr>
        <w:t>.</w:t>
      </w:r>
    </w:p>
    <w:p w:rsidR="00562CF7" w:rsidRDefault="00562CF7" w:rsidP="008A5D2D">
      <w:pPr>
        <w:spacing w:after="0" w:line="360" w:lineRule="auto"/>
        <w:ind w:firstLine="567"/>
        <w:jc w:val="both"/>
        <w:outlineLvl w:val="1"/>
        <w:rPr>
          <w:rtl/>
        </w:rPr>
      </w:pPr>
      <w:bookmarkStart w:id="39" w:name="_Toc461013608"/>
      <w:r>
        <w:rPr>
          <w:rFonts w:hint="cs"/>
          <w:b/>
          <w:bCs/>
          <w:rtl/>
        </w:rPr>
        <w:t>المطلب الثاني</w:t>
      </w:r>
      <w:r>
        <w:rPr>
          <w:rFonts w:hint="cs"/>
          <w:rtl/>
        </w:rPr>
        <w:t>: خصائص عقد الصلح في القانون</w:t>
      </w:r>
      <w:bookmarkEnd w:id="39"/>
      <w:r w:rsidR="00A359FD">
        <w:rPr>
          <w:rFonts w:hint="cs"/>
          <w:rtl/>
        </w:rPr>
        <w:t xml:space="preserve"> الجزائري</w:t>
      </w:r>
    </w:p>
    <w:p w:rsidR="00562CF7" w:rsidRDefault="00562CF7" w:rsidP="008A5D2D">
      <w:pPr>
        <w:spacing w:after="0" w:line="360" w:lineRule="auto"/>
        <w:ind w:firstLine="566"/>
        <w:jc w:val="both"/>
        <w:rPr>
          <w:rtl/>
        </w:rPr>
      </w:pPr>
      <w:r>
        <w:rPr>
          <w:rFonts w:hint="cs"/>
          <w:rtl/>
        </w:rPr>
        <w:t xml:space="preserve"> يتميز عقد الصلح بجملة من الخصائص التي تجعله يشترك فيها مع غيره من التصرفات الأخرى، قد تكون مظاهر للاختلاف مع تصرفات وأنظمة متقاربة معها وهذا ما سنتناوله في هذا المطلب.</w:t>
      </w:r>
    </w:p>
    <w:p w:rsidR="00562CF7" w:rsidRDefault="00562CF7" w:rsidP="008A5D2D">
      <w:pPr>
        <w:spacing w:after="0" w:line="360" w:lineRule="auto"/>
        <w:ind w:firstLine="567"/>
        <w:jc w:val="both"/>
        <w:outlineLvl w:val="2"/>
        <w:rPr>
          <w:rtl/>
        </w:rPr>
      </w:pPr>
      <w:bookmarkStart w:id="40" w:name="_Toc461013609"/>
      <w:r>
        <w:rPr>
          <w:rFonts w:hint="cs"/>
          <w:b/>
          <w:bCs/>
          <w:rtl/>
        </w:rPr>
        <w:t>الفرع الأول</w:t>
      </w:r>
      <w:r>
        <w:rPr>
          <w:rFonts w:hint="cs"/>
          <w:rtl/>
        </w:rPr>
        <w:t>: عقد الصلح من عقود المعاوضة</w:t>
      </w:r>
      <w:bookmarkEnd w:id="40"/>
    </w:p>
    <w:p w:rsidR="00562CF7" w:rsidRDefault="00562CF7" w:rsidP="008A5D2D">
      <w:pPr>
        <w:spacing w:after="0" w:line="360" w:lineRule="auto"/>
        <w:ind w:firstLine="566"/>
        <w:jc w:val="both"/>
        <w:rPr>
          <w:rtl/>
        </w:rPr>
      </w:pPr>
      <w:r>
        <w:rPr>
          <w:rFonts w:hint="cs"/>
          <w:rtl/>
        </w:rPr>
        <w:t>تعني أن كلا الطرفين ينزل عن جزء من ادعائه مقابل نزول الطرف الآخر عن جزء مما يدعيه، وبعبارة أخرى أن ينال كل من المتعاقدين مصلحته أو جزءاً منها بقدر ما يتنازل لخصمه عن مصالحه، وبالرجوع للقواعد العامة للعقود فقد نص المشرع الجزائري في المادة 58 من القانون المدني على عقود المعاوضة، حيث قال: "العقد بعوض هو الذي يلزم كل واحد من الطرفين إعطاء أو فعل شيء ما".</w:t>
      </w:r>
    </w:p>
    <w:p w:rsidR="00562CF7" w:rsidRDefault="00562CF7" w:rsidP="008A5D2D">
      <w:pPr>
        <w:spacing w:after="0" w:line="360" w:lineRule="auto"/>
        <w:ind w:firstLine="567"/>
        <w:jc w:val="both"/>
        <w:outlineLvl w:val="2"/>
        <w:rPr>
          <w:rtl/>
        </w:rPr>
      </w:pPr>
      <w:bookmarkStart w:id="41" w:name="_Toc461013610"/>
      <w:r>
        <w:rPr>
          <w:rFonts w:hint="cs"/>
          <w:b/>
          <w:bCs/>
          <w:rtl/>
        </w:rPr>
        <w:t>الفرع الثاني</w:t>
      </w:r>
      <w:r>
        <w:rPr>
          <w:rFonts w:hint="cs"/>
          <w:rtl/>
        </w:rPr>
        <w:t>: عقد الصلح عقد رضا</w:t>
      </w:r>
      <w:bookmarkEnd w:id="41"/>
    </w:p>
    <w:p w:rsidR="00562CF7" w:rsidRPr="00D22159" w:rsidRDefault="00562CF7" w:rsidP="008A5D2D">
      <w:pPr>
        <w:spacing w:after="0" w:line="360" w:lineRule="auto"/>
        <w:ind w:firstLine="566"/>
        <w:jc w:val="both"/>
        <w:rPr>
          <w:rtl/>
        </w:rPr>
      </w:pPr>
      <w:r>
        <w:rPr>
          <w:rFonts w:hint="cs"/>
          <w:rtl/>
        </w:rPr>
        <w:t>يكفي توافق القبول والإيجاب وضرورة الكتابة لإثبات الصلح لا لانعقاده، أي تطابق إرادتي المتعاقدين، فباعتباره من العقود الرضائية فإنه يثبت بالكتابة</w:t>
      </w:r>
      <w:r>
        <w:rPr>
          <w:rStyle w:val="Appelnotedebasdep"/>
          <w:rtl/>
        </w:rPr>
        <w:footnoteReference w:id="43"/>
      </w:r>
      <w:r>
        <w:rPr>
          <w:rFonts w:hint="cs"/>
          <w:rtl/>
        </w:rPr>
        <w:t>.</w:t>
      </w:r>
    </w:p>
    <w:p w:rsidR="00A359FD" w:rsidRDefault="00A359FD" w:rsidP="008A5D2D">
      <w:pPr>
        <w:spacing w:after="0" w:line="360" w:lineRule="auto"/>
        <w:ind w:firstLine="567"/>
        <w:jc w:val="both"/>
        <w:outlineLvl w:val="2"/>
        <w:rPr>
          <w:b/>
          <w:bCs/>
          <w:rtl/>
        </w:rPr>
      </w:pPr>
      <w:bookmarkStart w:id="42" w:name="_Toc461013611"/>
    </w:p>
    <w:p w:rsidR="00562CF7" w:rsidRDefault="00562CF7" w:rsidP="008A5D2D">
      <w:pPr>
        <w:spacing w:after="0" w:line="360" w:lineRule="auto"/>
        <w:ind w:firstLine="567"/>
        <w:jc w:val="both"/>
        <w:outlineLvl w:val="2"/>
        <w:rPr>
          <w:rtl/>
        </w:rPr>
      </w:pPr>
      <w:r>
        <w:rPr>
          <w:rFonts w:hint="cs"/>
          <w:b/>
          <w:bCs/>
          <w:rtl/>
        </w:rPr>
        <w:lastRenderedPageBreak/>
        <w:t>الفرع الثالث</w:t>
      </w:r>
      <w:r>
        <w:rPr>
          <w:rFonts w:hint="cs"/>
          <w:rtl/>
        </w:rPr>
        <w:t>: عقد الصلح عقد مسمى وملزم للجانبين</w:t>
      </w:r>
      <w:bookmarkEnd w:id="42"/>
    </w:p>
    <w:p w:rsidR="00562CF7" w:rsidRDefault="00562CF7" w:rsidP="008A5D2D">
      <w:pPr>
        <w:spacing w:after="0" w:line="360" w:lineRule="auto"/>
        <w:ind w:firstLine="566"/>
        <w:jc w:val="both"/>
        <w:rPr>
          <w:rtl/>
        </w:rPr>
      </w:pPr>
      <w:r>
        <w:rPr>
          <w:rFonts w:hint="cs"/>
          <w:rtl/>
        </w:rPr>
        <w:t>هو ما خصه القانون باسم معين وتولى تنظيمه لشيوعه بين الناس في تعاملهم، ولذلك فإن القاضي إذا كان ينظر إلى نزاع يتعلق بعقد الصلح وجب عليه أن يتبين الحل أولاً في الأحكام التفصيلية الواردة بشأن هذا العقد، فإن لم يجد ففي القواعد العامة التي تطبق على سائر العقود</w:t>
      </w:r>
      <w:r>
        <w:rPr>
          <w:rStyle w:val="Appelnotedebasdep"/>
          <w:rtl/>
        </w:rPr>
        <w:footnoteReference w:id="44"/>
      </w:r>
      <w:r>
        <w:rPr>
          <w:rFonts w:hint="cs"/>
          <w:rtl/>
        </w:rPr>
        <w:t>.</w:t>
      </w:r>
    </w:p>
    <w:p w:rsidR="00562CF7" w:rsidRPr="00A359FD" w:rsidRDefault="00562CF7" w:rsidP="00A359FD">
      <w:pPr>
        <w:spacing w:after="0" w:line="360" w:lineRule="auto"/>
        <w:ind w:firstLine="566"/>
        <w:jc w:val="both"/>
        <w:rPr>
          <w:rtl/>
        </w:rPr>
      </w:pPr>
      <w:r>
        <w:rPr>
          <w:rFonts w:hint="cs"/>
          <w:rtl/>
        </w:rPr>
        <w:t>أما من ناحية أنه ملزم للجانبين فإنه يجب النزول من الجانبين عن الحق، أي النزول عن جزء من ادعاءه في نظير تنازل الآخر عن جزء مقابل، فلا يصح لأحدهما الرجوع عنه أو فسخه إلا بالتراضي من الطرفين، فانعقاده في مجلس القضاء لازم ديانة وقضاء</w:t>
      </w:r>
      <w:r>
        <w:rPr>
          <w:rStyle w:val="Appelnotedebasdep"/>
          <w:rtl/>
        </w:rPr>
        <w:footnoteReference w:id="45"/>
      </w:r>
      <w:r>
        <w:rPr>
          <w:rFonts w:hint="cs"/>
          <w:rtl/>
        </w:rPr>
        <w:t>.</w:t>
      </w:r>
    </w:p>
    <w:p w:rsidR="00562CF7" w:rsidRDefault="00562CF7" w:rsidP="008A5D2D">
      <w:pPr>
        <w:spacing w:after="0" w:line="360" w:lineRule="auto"/>
        <w:ind w:firstLine="567"/>
        <w:jc w:val="both"/>
        <w:outlineLvl w:val="2"/>
        <w:rPr>
          <w:rtl/>
        </w:rPr>
      </w:pPr>
      <w:bookmarkStart w:id="43" w:name="_Toc461013612"/>
      <w:r>
        <w:rPr>
          <w:rFonts w:hint="cs"/>
          <w:b/>
          <w:bCs/>
          <w:rtl/>
        </w:rPr>
        <w:t>الفرع الرابع</w:t>
      </w:r>
      <w:r>
        <w:rPr>
          <w:rFonts w:hint="cs"/>
          <w:rtl/>
        </w:rPr>
        <w:t>: عقد الصلح عقد محدد واحتمالي وفوري</w:t>
      </w:r>
      <w:bookmarkEnd w:id="43"/>
    </w:p>
    <w:p w:rsidR="00562CF7" w:rsidRDefault="00562CF7" w:rsidP="008A5D2D">
      <w:pPr>
        <w:spacing w:after="0" w:line="360" w:lineRule="auto"/>
        <w:ind w:firstLine="566"/>
        <w:jc w:val="both"/>
        <w:rPr>
          <w:rtl/>
        </w:rPr>
      </w:pPr>
      <w:r>
        <w:rPr>
          <w:rFonts w:hint="cs"/>
          <w:rtl/>
        </w:rPr>
        <w:t>يكون ذلك بحسب طبيعة النزاع الذي يتصالح المتعاقدان من أجله، فيكون مح</w:t>
      </w:r>
      <w:r w:rsidRPr="00AF19EE">
        <w:rPr>
          <w:rFonts w:hint="cs"/>
          <w:rtl/>
        </w:rPr>
        <w:t>ددا</w:t>
      </w:r>
      <w:r>
        <w:rPr>
          <w:rFonts w:hint="cs"/>
          <w:rtl/>
        </w:rPr>
        <w:t xml:space="preserve"> أو اح</w:t>
      </w:r>
      <w:r w:rsidRPr="00AF19EE">
        <w:rPr>
          <w:rFonts w:hint="cs"/>
          <w:rtl/>
        </w:rPr>
        <w:t>تماليا</w:t>
      </w:r>
      <w:r>
        <w:rPr>
          <w:rFonts w:hint="cs"/>
          <w:rtl/>
        </w:rPr>
        <w:t xml:space="preserve"> بحسب تعيين أو عدم تعيين العوض الذي يناله المتعاقدان من الصلح، فظهرت نظريتان الأولى تقول إن عقد الصلح عقد احتمالي وفسروا ذلك بأنه يمكن الطعن في عقد الصلح، والنظرية الثانية قالت بأن عقد الصلح عقد محدد بشكل نهائي منذ إبرام التزامات كل من الطرفين</w:t>
      </w:r>
      <w:r>
        <w:rPr>
          <w:rStyle w:val="Appelnotedebasdep"/>
          <w:rtl/>
        </w:rPr>
        <w:footnoteReference w:id="46"/>
      </w:r>
      <w:r>
        <w:rPr>
          <w:rFonts w:hint="cs"/>
          <w:rtl/>
        </w:rPr>
        <w:t>.</w:t>
      </w:r>
    </w:p>
    <w:p w:rsidR="00562CF7" w:rsidRPr="00AF19EE" w:rsidRDefault="00562CF7" w:rsidP="008A5D2D">
      <w:pPr>
        <w:spacing w:after="0" w:line="360" w:lineRule="auto"/>
        <w:ind w:firstLine="566"/>
        <w:jc w:val="both"/>
        <w:rPr>
          <w:rtl/>
        </w:rPr>
      </w:pPr>
      <w:r>
        <w:rPr>
          <w:rFonts w:hint="cs"/>
          <w:rtl/>
        </w:rPr>
        <w:lastRenderedPageBreak/>
        <w:t xml:space="preserve">أما </w:t>
      </w:r>
      <w:r w:rsidRPr="00AF19EE">
        <w:rPr>
          <w:rFonts w:hint="cs"/>
          <w:rtl/>
        </w:rPr>
        <w:t>انع</w:t>
      </w:r>
      <w:r>
        <w:rPr>
          <w:rFonts w:hint="cs"/>
          <w:rtl/>
        </w:rPr>
        <w:t xml:space="preserve">قد الصلح فوري وليس </w:t>
      </w:r>
      <w:proofErr w:type="spellStart"/>
      <w:r>
        <w:rPr>
          <w:rFonts w:hint="cs"/>
          <w:rtl/>
        </w:rPr>
        <w:t>زمن</w:t>
      </w:r>
      <w:r w:rsidRPr="00AF19EE">
        <w:rPr>
          <w:rFonts w:hint="cs"/>
          <w:rtl/>
        </w:rPr>
        <w:t>ياف</w:t>
      </w:r>
      <w:r>
        <w:rPr>
          <w:rFonts w:hint="cs"/>
          <w:rtl/>
        </w:rPr>
        <w:t>بحيث</w:t>
      </w:r>
      <w:proofErr w:type="spellEnd"/>
      <w:r>
        <w:rPr>
          <w:rFonts w:hint="cs"/>
          <w:rtl/>
        </w:rPr>
        <w:t xml:space="preserve"> أن الزمن ليس عنصراً جوهرياً فيه حتى ولو كان تنفيذ الالتزامات النا</w:t>
      </w:r>
      <w:r w:rsidRPr="00AF19EE">
        <w:rPr>
          <w:rFonts w:hint="cs"/>
          <w:rtl/>
        </w:rPr>
        <w:t>تجة</w:t>
      </w:r>
      <w:r>
        <w:rPr>
          <w:rFonts w:hint="cs"/>
          <w:rtl/>
        </w:rPr>
        <w:t xml:space="preserve"> عنه مؤجلاً إلى أجل معلوم، ذلك أن الأصل هنا لا دخل له في تحديد الالتزامات الناشئة عن العقد، بمعنى أن العقد الفوري له حقيقة مكانية لا زمنية</w:t>
      </w:r>
      <w:r>
        <w:rPr>
          <w:rStyle w:val="Appelnotedebasdep"/>
          <w:rtl/>
        </w:rPr>
        <w:footnoteReference w:id="47"/>
      </w:r>
      <w:r>
        <w:rPr>
          <w:rFonts w:hint="cs"/>
          <w:rtl/>
        </w:rPr>
        <w:t>.</w:t>
      </w:r>
    </w:p>
    <w:p w:rsidR="00562CF7" w:rsidRPr="00A359FD" w:rsidRDefault="00562CF7" w:rsidP="008A5D2D">
      <w:pPr>
        <w:spacing w:after="0" w:line="360" w:lineRule="auto"/>
        <w:ind w:firstLine="567"/>
        <w:jc w:val="both"/>
        <w:outlineLvl w:val="1"/>
        <w:rPr>
          <w:sz w:val="30"/>
          <w:szCs w:val="30"/>
          <w:rtl/>
        </w:rPr>
      </w:pPr>
      <w:bookmarkStart w:id="44" w:name="_Toc461013613"/>
      <w:r>
        <w:rPr>
          <w:rFonts w:hint="cs"/>
          <w:b/>
          <w:bCs/>
          <w:rtl/>
        </w:rPr>
        <w:t>المطلب الثالث</w:t>
      </w:r>
      <w:r>
        <w:rPr>
          <w:rFonts w:hint="cs"/>
          <w:rtl/>
        </w:rPr>
        <w:t xml:space="preserve">: </w:t>
      </w:r>
      <w:r w:rsidRPr="00A359FD">
        <w:rPr>
          <w:rFonts w:hint="cs"/>
          <w:sz w:val="30"/>
          <w:szCs w:val="30"/>
          <w:rtl/>
        </w:rPr>
        <w:t>المقارنة بين</w:t>
      </w:r>
      <w:bookmarkEnd w:id="44"/>
      <w:r w:rsidR="00A359FD" w:rsidRPr="00A359FD">
        <w:rPr>
          <w:rFonts w:hint="cs"/>
          <w:sz w:val="30"/>
          <w:szCs w:val="30"/>
          <w:rtl/>
        </w:rPr>
        <w:t xml:space="preserve"> خصائص عقد الصلح في القانون الجزائري والفقه الإسلامي</w:t>
      </w:r>
    </w:p>
    <w:p w:rsidR="00562CF7" w:rsidRDefault="00562CF7" w:rsidP="008A5D2D">
      <w:pPr>
        <w:spacing w:after="0" w:line="360" w:lineRule="auto"/>
        <w:ind w:firstLine="566"/>
        <w:jc w:val="both"/>
        <w:rPr>
          <w:rtl/>
        </w:rPr>
      </w:pPr>
      <w:r>
        <w:rPr>
          <w:rFonts w:hint="cs"/>
          <w:rtl/>
        </w:rPr>
        <w:t>بعد التعرض الى خصائص عقد الصلح في القانون وكذا الفقه الإسلامي فانه أوجب إجراء مقارنة بينهما وهذا لطبيعة البحث.</w:t>
      </w:r>
    </w:p>
    <w:p w:rsidR="00562CF7" w:rsidRDefault="00562CF7" w:rsidP="008A5D2D">
      <w:pPr>
        <w:spacing w:after="0" w:line="360" w:lineRule="auto"/>
        <w:ind w:firstLine="567"/>
        <w:jc w:val="both"/>
        <w:outlineLvl w:val="2"/>
        <w:rPr>
          <w:rtl/>
        </w:rPr>
      </w:pPr>
      <w:bookmarkStart w:id="45" w:name="_Toc461013614"/>
      <w:r>
        <w:rPr>
          <w:rFonts w:hint="cs"/>
          <w:b/>
          <w:bCs/>
          <w:rtl/>
        </w:rPr>
        <w:t>الفرع الأول</w:t>
      </w:r>
      <w:r>
        <w:rPr>
          <w:rFonts w:hint="cs"/>
          <w:rtl/>
        </w:rPr>
        <w:t>: الصلح بين عقد معاوضة أو تبرع</w:t>
      </w:r>
      <w:bookmarkEnd w:id="45"/>
    </w:p>
    <w:p w:rsidR="00562CF7" w:rsidRDefault="00562CF7" w:rsidP="008A5D2D">
      <w:pPr>
        <w:spacing w:after="0" w:line="360" w:lineRule="auto"/>
        <w:ind w:firstLine="566"/>
        <w:jc w:val="both"/>
        <w:rPr>
          <w:rtl/>
        </w:rPr>
      </w:pPr>
      <w:r>
        <w:rPr>
          <w:rFonts w:hint="cs"/>
          <w:rtl/>
        </w:rPr>
        <w:t>قد يكون عقد الصلح هبة أي عقد من عقود التبرع يكون التمليك فيها بدون مقابل فلا يأخذ المتبرع عوضا على ما قدمه كالهبة</w:t>
      </w:r>
      <w:r>
        <w:rPr>
          <w:rStyle w:val="Appelnotedebasdep"/>
          <w:rtl/>
        </w:rPr>
        <w:footnoteReference w:id="48"/>
      </w:r>
      <w:r>
        <w:rPr>
          <w:rFonts w:hint="cs"/>
          <w:rtl/>
        </w:rPr>
        <w:t>.</w:t>
      </w:r>
    </w:p>
    <w:p w:rsidR="00562CF7" w:rsidRDefault="00562CF7" w:rsidP="008A5D2D">
      <w:pPr>
        <w:spacing w:after="0" w:line="360" w:lineRule="auto"/>
        <w:ind w:firstLine="566"/>
        <w:jc w:val="both"/>
        <w:rPr>
          <w:rtl/>
        </w:rPr>
      </w:pPr>
      <w:r>
        <w:rPr>
          <w:rFonts w:hint="cs"/>
          <w:rtl/>
        </w:rPr>
        <w:t>وعليه فإنه يمكن أن يكون الصلح قائما على تبرع أحد المتخاصمين بهبة أو إبراء من دين</w:t>
      </w:r>
      <w:r>
        <w:rPr>
          <w:rStyle w:val="Appelnotedebasdep"/>
          <w:rtl/>
        </w:rPr>
        <w:footnoteReference w:id="49"/>
      </w:r>
      <w:r>
        <w:rPr>
          <w:rFonts w:hint="cs"/>
          <w:rtl/>
        </w:rPr>
        <w:t>، كذلك يعتبر معاوضة وذلك بأخذ بدل الصلح</w:t>
      </w:r>
      <w:r>
        <w:rPr>
          <w:rStyle w:val="Appelnotedebasdep"/>
          <w:rtl/>
        </w:rPr>
        <w:footnoteReference w:id="50"/>
      </w:r>
      <w:r>
        <w:rPr>
          <w:rFonts w:hint="cs"/>
          <w:rtl/>
        </w:rPr>
        <w:t>.</w:t>
      </w:r>
    </w:p>
    <w:p w:rsidR="00562CF7" w:rsidRPr="00D22159" w:rsidRDefault="00562CF7" w:rsidP="008A5D2D">
      <w:pPr>
        <w:spacing w:after="0" w:line="360" w:lineRule="auto"/>
        <w:ind w:firstLine="566"/>
        <w:jc w:val="both"/>
        <w:rPr>
          <w:rtl/>
        </w:rPr>
      </w:pPr>
      <w:r>
        <w:rPr>
          <w:rFonts w:hint="cs"/>
          <w:rtl/>
        </w:rPr>
        <w:t xml:space="preserve">أما القانون </w:t>
      </w:r>
      <w:proofErr w:type="spellStart"/>
      <w:r>
        <w:rPr>
          <w:rFonts w:hint="cs"/>
          <w:rtl/>
        </w:rPr>
        <w:t>فإعتبره</w:t>
      </w:r>
      <w:proofErr w:type="spellEnd"/>
      <w:r>
        <w:rPr>
          <w:rFonts w:hint="cs"/>
          <w:rtl/>
        </w:rPr>
        <w:t xml:space="preserve"> من عقود المعاوضة وذلك بأخذ كل من المتعاقدين المتصالحين مقابلا لما أعطاه.</w:t>
      </w:r>
    </w:p>
    <w:p w:rsidR="00A359FD" w:rsidRDefault="00A359FD" w:rsidP="008A5D2D">
      <w:pPr>
        <w:spacing w:after="0" w:line="360" w:lineRule="auto"/>
        <w:ind w:firstLine="567"/>
        <w:jc w:val="both"/>
        <w:outlineLvl w:val="2"/>
        <w:rPr>
          <w:b/>
          <w:bCs/>
          <w:rtl/>
        </w:rPr>
      </w:pPr>
      <w:bookmarkStart w:id="46" w:name="_Toc461013615"/>
    </w:p>
    <w:p w:rsidR="00562CF7" w:rsidRDefault="00562CF7" w:rsidP="008A5D2D">
      <w:pPr>
        <w:spacing w:after="0" w:line="360" w:lineRule="auto"/>
        <w:ind w:firstLine="567"/>
        <w:jc w:val="both"/>
        <w:outlineLvl w:val="2"/>
        <w:rPr>
          <w:rtl/>
        </w:rPr>
      </w:pPr>
      <w:r>
        <w:rPr>
          <w:rFonts w:hint="cs"/>
          <w:b/>
          <w:bCs/>
          <w:rtl/>
        </w:rPr>
        <w:lastRenderedPageBreak/>
        <w:t>الفرع الثاني</w:t>
      </w:r>
      <w:r>
        <w:rPr>
          <w:rFonts w:hint="cs"/>
          <w:rtl/>
        </w:rPr>
        <w:t>: الصلح عقد رضائي</w:t>
      </w:r>
      <w:bookmarkEnd w:id="46"/>
    </w:p>
    <w:p w:rsidR="00562CF7" w:rsidRDefault="00562CF7" w:rsidP="008A5D2D">
      <w:pPr>
        <w:spacing w:after="0" w:line="360" w:lineRule="auto"/>
        <w:ind w:firstLine="566"/>
        <w:jc w:val="both"/>
        <w:rPr>
          <w:rtl/>
        </w:rPr>
      </w:pPr>
      <w:r>
        <w:rPr>
          <w:rFonts w:hint="cs"/>
          <w:rtl/>
        </w:rPr>
        <w:t>يعتبر عقد الصلح من العقود الرضائية التي تقوم على تطابق الإرادتين، وذلك بالتعبير عنها بالإيجاب والقبول من المتعاقدين، فلا يمكن لأحد الرجوع في الصلح الذي يتم بالتراضي</w:t>
      </w:r>
      <w:r>
        <w:rPr>
          <w:rStyle w:val="Appelnotedebasdep"/>
          <w:rtl/>
        </w:rPr>
        <w:footnoteReference w:id="51"/>
      </w:r>
      <w:r>
        <w:rPr>
          <w:rFonts w:hint="cs"/>
          <w:rtl/>
        </w:rPr>
        <w:t>.</w:t>
      </w:r>
    </w:p>
    <w:p w:rsidR="00562CF7" w:rsidRDefault="00562CF7" w:rsidP="008A5D2D">
      <w:pPr>
        <w:spacing w:after="0" w:line="360" w:lineRule="auto"/>
        <w:ind w:firstLine="567"/>
        <w:jc w:val="both"/>
        <w:outlineLvl w:val="2"/>
        <w:rPr>
          <w:rtl/>
        </w:rPr>
      </w:pPr>
      <w:bookmarkStart w:id="47" w:name="_Toc461013616"/>
      <w:r>
        <w:rPr>
          <w:rFonts w:hint="cs"/>
          <w:b/>
          <w:bCs/>
          <w:rtl/>
        </w:rPr>
        <w:t>الفرع الثالث</w:t>
      </w:r>
      <w:r>
        <w:rPr>
          <w:rFonts w:hint="cs"/>
          <w:rtl/>
        </w:rPr>
        <w:t>: الصلح عقد ملزم للجانبين</w:t>
      </w:r>
      <w:bookmarkEnd w:id="47"/>
    </w:p>
    <w:p w:rsidR="00562CF7" w:rsidRDefault="00562CF7" w:rsidP="008A5D2D">
      <w:pPr>
        <w:spacing w:after="0" w:line="360" w:lineRule="auto"/>
        <w:ind w:firstLine="566"/>
        <w:jc w:val="both"/>
        <w:rPr>
          <w:rtl/>
        </w:rPr>
      </w:pPr>
      <w:r>
        <w:rPr>
          <w:rFonts w:hint="cs"/>
          <w:rtl/>
        </w:rPr>
        <w:t>يتفقان في أن الصلح ملزم للجانبين، ويختلفان في اللزوم، فالقانون قسمه إلى ملزم لجانب واحد، وملزم لجانبين، أما الشارع الحكيم فقد قيده بالإلزامية للجانبين، فإذا تم الصلح فليس لواحد من الطرفين الرجوع فيه ويملك المدعي بالصلح بدله، ولا يبقى له حق في الدعوى فليس للمدعي عليه استرداد بدل الصلح كذلك لو تصالح البائع مع المشتري عن خيار العيب، ثم ظهر عدم وجود العيب أو زوال العيب من نفسه وبدون معالجة أو كلفة بطل الصلح ويجب على المشتري رد بدل الصلح الذي أخذه البائع</w:t>
      </w:r>
      <w:r>
        <w:rPr>
          <w:rStyle w:val="Appelnotedebasdep"/>
          <w:rtl/>
        </w:rPr>
        <w:footnoteReference w:id="52"/>
      </w:r>
      <w:r>
        <w:rPr>
          <w:rFonts w:hint="cs"/>
          <w:rtl/>
        </w:rPr>
        <w:t>.</w:t>
      </w:r>
    </w:p>
    <w:p w:rsidR="00562CF7" w:rsidRDefault="00562CF7" w:rsidP="008A5D2D">
      <w:pPr>
        <w:spacing w:after="0" w:line="360" w:lineRule="auto"/>
        <w:ind w:firstLine="567"/>
        <w:jc w:val="both"/>
        <w:outlineLvl w:val="2"/>
        <w:rPr>
          <w:rtl/>
        </w:rPr>
      </w:pPr>
      <w:bookmarkStart w:id="48" w:name="_Toc461013617"/>
      <w:r>
        <w:rPr>
          <w:rFonts w:hint="cs"/>
          <w:b/>
          <w:bCs/>
          <w:rtl/>
        </w:rPr>
        <w:t>الفرع الرابع</w:t>
      </w:r>
      <w:r>
        <w:rPr>
          <w:rFonts w:hint="cs"/>
          <w:rtl/>
        </w:rPr>
        <w:t>: عقد الصلح بين محدد واحتمالي</w:t>
      </w:r>
      <w:bookmarkEnd w:id="48"/>
    </w:p>
    <w:p w:rsidR="00562CF7" w:rsidRPr="00D22159" w:rsidRDefault="00562CF7" w:rsidP="008A5D2D">
      <w:pPr>
        <w:spacing w:after="0" w:line="360" w:lineRule="auto"/>
        <w:ind w:firstLine="566"/>
        <w:jc w:val="both"/>
        <w:rPr>
          <w:rtl/>
        </w:rPr>
      </w:pPr>
      <w:r>
        <w:rPr>
          <w:rFonts w:hint="cs"/>
          <w:rtl/>
        </w:rPr>
        <w:t>اعتبر الشارع الحكيم أن عقد الصلح لا يكون إلا محدداً، أي لا يكون احتمالياً، لكن القانون فقد يكون فيه الصلح محدداً واحتمالياً</w:t>
      </w:r>
      <w:r>
        <w:rPr>
          <w:rStyle w:val="Appelnotedebasdep"/>
          <w:rtl/>
        </w:rPr>
        <w:footnoteReference w:id="53"/>
      </w:r>
      <w:r>
        <w:rPr>
          <w:rFonts w:hint="cs"/>
          <w:rtl/>
        </w:rPr>
        <w:t xml:space="preserve">. </w:t>
      </w:r>
    </w:p>
    <w:p w:rsidR="00A359FD" w:rsidRDefault="00A359FD" w:rsidP="008A5D2D">
      <w:pPr>
        <w:spacing w:after="0" w:line="360" w:lineRule="auto"/>
        <w:ind w:firstLine="567"/>
        <w:jc w:val="both"/>
        <w:outlineLvl w:val="2"/>
        <w:rPr>
          <w:b/>
          <w:bCs/>
          <w:rtl/>
        </w:rPr>
      </w:pPr>
      <w:bookmarkStart w:id="49" w:name="_Toc461013618"/>
    </w:p>
    <w:p w:rsidR="00562CF7" w:rsidRDefault="00562CF7" w:rsidP="008A5D2D">
      <w:pPr>
        <w:spacing w:after="0" w:line="360" w:lineRule="auto"/>
        <w:ind w:firstLine="567"/>
        <w:jc w:val="both"/>
        <w:outlineLvl w:val="2"/>
        <w:rPr>
          <w:rtl/>
        </w:rPr>
      </w:pPr>
      <w:r>
        <w:rPr>
          <w:rFonts w:hint="cs"/>
          <w:b/>
          <w:bCs/>
          <w:rtl/>
        </w:rPr>
        <w:lastRenderedPageBreak/>
        <w:t>الفرع الخامس</w:t>
      </w:r>
      <w:r>
        <w:rPr>
          <w:rFonts w:hint="cs"/>
          <w:rtl/>
        </w:rPr>
        <w:t>: الصلح بين فوري وزمني</w:t>
      </w:r>
      <w:bookmarkEnd w:id="49"/>
    </w:p>
    <w:p w:rsidR="00562CF7" w:rsidRDefault="00562CF7" w:rsidP="008A5D2D">
      <w:pPr>
        <w:spacing w:after="0" w:line="360" w:lineRule="auto"/>
        <w:ind w:firstLine="566"/>
        <w:jc w:val="both"/>
        <w:rPr>
          <w:rtl/>
        </w:rPr>
      </w:pPr>
      <w:r>
        <w:rPr>
          <w:rFonts w:hint="cs"/>
          <w:rtl/>
        </w:rPr>
        <w:t>قد يكون الصلح معلقاً أو مضافاً في الشرع الحكيم، أما القانون فقد اشترط نفاذ الالتزام لأجل، إذا كان مترتباً على أمر مستقبلي محقق الوقوع</w:t>
      </w:r>
      <w:r>
        <w:rPr>
          <w:rStyle w:val="Appelnotedebasdep"/>
          <w:rtl/>
        </w:rPr>
        <w:footnoteReference w:id="54"/>
      </w:r>
      <w:r>
        <w:rPr>
          <w:rFonts w:hint="cs"/>
          <w:rtl/>
        </w:rPr>
        <w:t>، وهذا ما نص عليه في المادة 209 من القانون المدني، كما نص أيضاً أن الالتزام المعلق لا ينفذ إلا إذا كان وجوده أو زواله مترتباً على أمر مستقبلي وممكن الوقوع، وهذا ما نص عليه في المادة 209 من القانون المدني.</w:t>
      </w:r>
    </w:p>
    <w:p w:rsidR="00562CF7" w:rsidRDefault="00562CF7" w:rsidP="008A5D2D">
      <w:pPr>
        <w:spacing w:after="0" w:line="360" w:lineRule="auto"/>
        <w:ind w:firstLine="567"/>
        <w:jc w:val="both"/>
        <w:outlineLvl w:val="0"/>
        <w:rPr>
          <w:rtl/>
        </w:rPr>
      </w:pPr>
      <w:bookmarkStart w:id="50" w:name="_Toc461013619"/>
      <w:r>
        <w:rPr>
          <w:rFonts w:hint="cs"/>
          <w:b/>
          <w:bCs/>
          <w:rtl/>
        </w:rPr>
        <w:t>المبحث الرابع</w:t>
      </w:r>
      <w:r>
        <w:rPr>
          <w:rFonts w:hint="cs"/>
          <w:rtl/>
        </w:rPr>
        <w:t>: إجراءات الصلح والآثار المترتبة عنه</w:t>
      </w:r>
      <w:bookmarkEnd w:id="50"/>
      <w:r w:rsidR="00A359FD">
        <w:rPr>
          <w:rFonts w:hint="cs"/>
          <w:rtl/>
        </w:rPr>
        <w:t xml:space="preserve"> </w:t>
      </w:r>
      <w:proofErr w:type="spellStart"/>
      <w:r w:rsidR="00A359FD">
        <w:rPr>
          <w:rFonts w:hint="cs"/>
          <w:rtl/>
        </w:rPr>
        <w:t>وإنقضاء</w:t>
      </w:r>
      <w:proofErr w:type="spellEnd"/>
      <w:r w:rsidR="00A359FD">
        <w:rPr>
          <w:rFonts w:hint="cs"/>
          <w:rtl/>
        </w:rPr>
        <w:t xml:space="preserve"> الصلح</w:t>
      </w:r>
    </w:p>
    <w:p w:rsidR="00562CF7" w:rsidRDefault="00562CF7" w:rsidP="008A5D2D">
      <w:pPr>
        <w:spacing w:after="0" w:line="360" w:lineRule="auto"/>
        <w:ind w:firstLine="566"/>
        <w:jc w:val="both"/>
        <w:rPr>
          <w:rtl/>
        </w:rPr>
      </w:pPr>
      <w:r>
        <w:rPr>
          <w:rFonts w:hint="cs"/>
          <w:rtl/>
        </w:rPr>
        <w:t>قد يجنح طرفي النزاع إلى تصالح فيما بينهما لإنهاء النزاع القائم، وفي هذه الحالة على الطرفين اتباع الإجراءات المقررة قانوناً في الصلح، وكذا الإجراءات الفقهية المعتمدة فقهاً.</w:t>
      </w:r>
    </w:p>
    <w:p w:rsidR="00562CF7" w:rsidRDefault="00562CF7" w:rsidP="008A5D2D">
      <w:pPr>
        <w:spacing w:after="0" w:line="360" w:lineRule="auto"/>
        <w:ind w:firstLine="566"/>
        <w:jc w:val="both"/>
        <w:rPr>
          <w:rtl/>
        </w:rPr>
      </w:pPr>
      <w:r>
        <w:rPr>
          <w:rFonts w:hint="cs"/>
          <w:rtl/>
        </w:rPr>
        <w:t>فالقانونية تناولها المشرع في قانون الإجراءات المدنية والإدارية الجديد، وخصها بعناية واهتمام، أما الفقهية فتناولها الشارع الحكيم في الكتاب والسنة النبوية والإجماع، وهذا ما سيأتي بيانه في هذا المبحث.</w:t>
      </w:r>
    </w:p>
    <w:p w:rsidR="00562CF7" w:rsidRDefault="00562CF7" w:rsidP="008A5D2D">
      <w:pPr>
        <w:spacing w:after="0" w:line="360" w:lineRule="auto"/>
        <w:ind w:firstLine="567"/>
        <w:jc w:val="both"/>
        <w:outlineLvl w:val="1"/>
        <w:rPr>
          <w:rtl/>
        </w:rPr>
      </w:pPr>
      <w:bookmarkStart w:id="51" w:name="_Toc461013620"/>
      <w:r>
        <w:rPr>
          <w:rFonts w:hint="cs"/>
          <w:b/>
          <w:bCs/>
          <w:rtl/>
        </w:rPr>
        <w:t>المطلب الأول</w:t>
      </w:r>
      <w:r>
        <w:rPr>
          <w:rFonts w:hint="cs"/>
          <w:rtl/>
        </w:rPr>
        <w:t>: إجراءات الصلح</w:t>
      </w:r>
      <w:bookmarkEnd w:id="51"/>
    </w:p>
    <w:p w:rsidR="00562CF7" w:rsidRPr="00D22159" w:rsidRDefault="00562CF7" w:rsidP="008A5D2D">
      <w:pPr>
        <w:spacing w:after="0" w:line="360" w:lineRule="auto"/>
        <w:ind w:firstLine="566"/>
        <w:jc w:val="both"/>
        <w:rPr>
          <w:rtl/>
        </w:rPr>
      </w:pPr>
      <w:r>
        <w:rPr>
          <w:rFonts w:hint="cs"/>
          <w:rtl/>
        </w:rPr>
        <w:t>قد يجنح طرفي النزاع الى التصالح بينهما لإناء النزاع وفي هذه الحالة لا بد على الطرفين إتباع الإجراءات المقررة قانونا وشرعا في الصلح.</w:t>
      </w:r>
    </w:p>
    <w:p w:rsidR="00562CF7" w:rsidRDefault="00562CF7" w:rsidP="008A5D2D">
      <w:pPr>
        <w:spacing w:after="0" w:line="360" w:lineRule="auto"/>
        <w:ind w:firstLine="567"/>
        <w:jc w:val="both"/>
        <w:outlineLvl w:val="2"/>
        <w:rPr>
          <w:rtl/>
        </w:rPr>
      </w:pPr>
      <w:bookmarkStart w:id="52" w:name="_Toc461013621"/>
      <w:r>
        <w:rPr>
          <w:rFonts w:hint="cs"/>
          <w:b/>
          <w:bCs/>
          <w:rtl/>
        </w:rPr>
        <w:lastRenderedPageBreak/>
        <w:t>الفرع الأول</w:t>
      </w:r>
      <w:r>
        <w:rPr>
          <w:rFonts w:hint="cs"/>
          <w:rtl/>
        </w:rPr>
        <w:t>: إجراءات الصلح في الفقه الإسلامي</w:t>
      </w:r>
      <w:bookmarkEnd w:id="52"/>
    </w:p>
    <w:p w:rsidR="00562CF7" w:rsidRDefault="00562CF7" w:rsidP="008A5D2D">
      <w:pPr>
        <w:spacing w:after="0" w:line="360" w:lineRule="auto"/>
        <w:ind w:firstLine="566"/>
        <w:jc w:val="both"/>
        <w:rPr>
          <w:rtl/>
        </w:rPr>
      </w:pPr>
      <w:r>
        <w:rPr>
          <w:rFonts w:hint="cs"/>
          <w:rtl/>
        </w:rPr>
        <w:t>قال تعالى: "</w:t>
      </w:r>
      <w:r w:rsidRPr="000A6E52">
        <w:rPr>
          <w:rFonts w:ascii="Traditional Arabic" w:hAnsi="Traditional Arabic" w:cs="Traditional Arabic"/>
          <w:rtl/>
        </w:rPr>
        <w:t>وَإِنْ خِفْتُمْ شِقَاقَ بَيْنِهِمَا فَابْعَثُوا حَكَماً مِنْ أَهْلِهِ وَحَكَماً مِنْ أَهْلِهَا إِنْ يُرِيدَا إِصْلَاحاً يُوَفِّقِ اللَّهُ بَيْنَهُمَا</w:t>
      </w:r>
      <w:r>
        <w:rPr>
          <w:rFonts w:hint="cs"/>
          <w:rtl/>
        </w:rPr>
        <w:t>"</w:t>
      </w:r>
      <w:r>
        <w:rPr>
          <w:rStyle w:val="Appelnotedebasdep"/>
          <w:rtl/>
        </w:rPr>
        <w:footnoteReference w:id="55"/>
      </w:r>
      <w:r>
        <w:rPr>
          <w:rFonts w:hint="cs"/>
          <w:rtl/>
        </w:rPr>
        <w:t>.</w:t>
      </w:r>
    </w:p>
    <w:p w:rsidR="00562CF7" w:rsidRPr="00AF19EE" w:rsidRDefault="00562CF7" w:rsidP="008A5D2D">
      <w:pPr>
        <w:spacing w:after="0" w:line="360" w:lineRule="auto"/>
        <w:ind w:firstLine="566"/>
        <w:jc w:val="both"/>
        <w:rPr>
          <w:rtl/>
        </w:rPr>
      </w:pPr>
      <w:r>
        <w:rPr>
          <w:rFonts w:hint="cs"/>
          <w:rtl/>
        </w:rPr>
        <w:t>فقد بينت الآية الكريمة أنه في حالة حدوث شقاق بين الزوجين فإنه وجب تعيين حكمين يكونان من أهل الزوج والزوجة، وذلك لمعرفة سبب الخلاف بين الزوجين، ويستطلع كل واحد منهما رأي صاحبه الذي بعثه إذا كانت رغبته في الصلح أو الفرقة، ويدرسا جميع الأوضاع المتعلقة بذلك، من جميع الأوجه، وأن يجدا كل السبل لإنهاء هذا الشقاق، فعلى الحكمان عند حضورهما عند القاضي أن يلطفا القول وينصفا ويرغبا ولا يحضا بذلك أحدهما على الآخر</w:t>
      </w:r>
      <w:r>
        <w:rPr>
          <w:rStyle w:val="Appelnotedebasdep"/>
          <w:rtl/>
        </w:rPr>
        <w:footnoteReference w:id="56"/>
      </w:r>
      <w:r>
        <w:rPr>
          <w:rFonts w:hint="cs"/>
          <w:rtl/>
        </w:rPr>
        <w:t>.</w:t>
      </w:r>
    </w:p>
    <w:p w:rsidR="00562CF7" w:rsidRDefault="00562CF7" w:rsidP="008A5D2D">
      <w:pPr>
        <w:spacing w:after="0" w:line="360" w:lineRule="auto"/>
        <w:ind w:firstLine="567"/>
        <w:jc w:val="both"/>
        <w:outlineLvl w:val="2"/>
        <w:rPr>
          <w:rtl/>
        </w:rPr>
      </w:pPr>
      <w:bookmarkStart w:id="53" w:name="_Toc461013622"/>
      <w:r>
        <w:rPr>
          <w:rFonts w:hint="cs"/>
          <w:b/>
          <w:bCs/>
          <w:rtl/>
        </w:rPr>
        <w:t>الفرع الثاني</w:t>
      </w:r>
      <w:r>
        <w:rPr>
          <w:rFonts w:hint="cs"/>
          <w:rtl/>
        </w:rPr>
        <w:t>: إجراءات الصلح في القانون</w:t>
      </w:r>
      <w:bookmarkEnd w:id="53"/>
    </w:p>
    <w:p w:rsidR="00562CF7" w:rsidRDefault="00562CF7" w:rsidP="008A5D2D">
      <w:pPr>
        <w:spacing w:after="0" w:line="360" w:lineRule="auto"/>
        <w:ind w:firstLine="566"/>
        <w:jc w:val="both"/>
        <w:rPr>
          <w:rtl/>
        </w:rPr>
      </w:pPr>
      <w:r>
        <w:rPr>
          <w:rFonts w:hint="cs"/>
          <w:rtl/>
        </w:rPr>
        <w:t>نص المشرع أن محاولات الصلح وجوبية وتتم في جلسة سرية وهذا لتقريب العدالة من المواطن وإعطاء فرصة للخصوم لحل النزاع بأنفسهم، وهذا يرمي إلى وجود حل ودي يرضي الطرفين، ويعتبر دور القاضي التوفيق بين الأطراف والتصالح بينهما، وكذا نص على أن القاضي يستمع إلى كل زوج على انفراد ثم معاً، ويمك</w:t>
      </w:r>
      <w:r w:rsidRPr="00F84444">
        <w:rPr>
          <w:rFonts w:hint="cs"/>
          <w:rtl/>
        </w:rPr>
        <w:t>ن</w:t>
      </w:r>
      <w:r>
        <w:rPr>
          <w:rFonts w:hint="cs"/>
          <w:rtl/>
        </w:rPr>
        <w:t xml:space="preserve"> </w:t>
      </w:r>
      <w:proofErr w:type="spellStart"/>
      <w:r>
        <w:rPr>
          <w:rFonts w:hint="cs"/>
          <w:rtl/>
        </w:rPr>
        <w:t>بناءاً</w:t>
      </w:r>
      <w:proofErr w:type="spellEnd"/>
      <w:r>
        <w:rPr>
          <w:rFonts w:hint="cs"/>
          <w:rtl/>
        </w:rPr>
        <w:t xml:space="preserve"> على طلب الزوجين حضور أحد أفراد العائلة والمشاركة في محاولة الصلح، ففي </w:t>
      </w:r>
      <w:r w:rsidRPr="00F84444">
        <w:rPr>
          <w:rFonts w:hint="cs"/>
          <w:rtl/>
        </w:rPr>
        <w:t>حال</w:t>
      </w:r>
      <w:r>
        <w:rPr>
          <w:rFonts w:hint="cs"/>
          <w:rtl/>
        </w:rPr>
        <w:t xml:space="preserve"> عدم الصلح أو تخلف أحد الزوجين رغم مهلة التفكير الممنوحة له، يشرع في مناقشة موضوع الدعوى، فإذا تم الصلح بين </w:t>
      </w:r>
      <w:r>
        <w:rPr>
          <w:rFonts w:hint="cs"/>
          <w:rtl/>
        </w:rPr>
        <w:lastRenderedPageBreak/>
        <w:t>الزوجين يحرر أمين الضبط تحت إشراف القاضي محضراً بذلك في الحال، ويوقع عليه من طرف القاضي وأمين الضبط والزوجين ويودع بأمانة الضبط، ويعد محضر الصلح سنداً تنفيذياً</w:t>
      </w:r>
      <w:r>
        <w:rPr>
          <w:rStyle w:val="Appelnotedebasdep"/>
          <w:rtl/>
        </w:rPr>
        <w:footnoteReference w:id="57"/>
      </w:r>
      <w:r>
        <w:rPr>
          <w:rFonts w:hint="cs"/>
          <w:rtl/>
        </w:rPr>
        <w:t>.</w:t>
      </w:r>
    </w:p>
    <w:p w:rsidR="00562CF7" w:rsidRDefault="00562CF7" w:rsidP="008A5D2D">
      <w:pPr>
        <w:spacing w:after="0" w:line="360" w:lineRule="auto"/>
        <w:ind w:firstLine="566"/>
        <w:jc w:val="both"/>
        <w:rPr>
          <w:rtl/>
        </w:rPr>
      </w:pPr>
      <w:r>
        <w:rPr>
          <w:rFonts w:hint="cs"/>
          <w:rtl/>
        </w:rPr>
        <w:t>وفي جميع الحالات يجب ألا تتجاوز محاولات الصلح ثلا</w:t>
      </w:r>
      <w:r w:rsidRPr="00F84444">
        <w:rPr>
          <w:rFonts w:hint="cs"/>
          <w:rtl/>
        </w:rPr>
        <w:t>ثة</w:t>
      </w:r>
      <w:r>
        <w:rPr>
          <w:rFonts w:hint="cs"/>
          <w:rtl/>
        </w:rPr>
        <w:t xml:space="preserve"> أشهر من تاريخ رفع الدعوى وهذا ما نصت عليه المادة 442 من قانون الإجراءات المدنية والإدارية، كما نص أيضاً على أنه </w:t>
      </w:r>
      <w:r w:rsidRPr="00F84444">
        <w:rPr>
          <w:rFonts w:hint="cs"/>
          <w:rtl/>
        </w:rPr>
        <w:t>لابد</w:t>
      </w:r>
      <w:r>
        <w:rPr>
          <w:rFonts w:hint="cs"/>
          <w:rtl/>
        </w:rPr>
        <w:t xml:space="preserve"> من تعيين حكمين لإجراءات محاولة الصلح وهذا ما نصت عليه الماد</w:t>
      </w:r>
      <w:r w:rsidR="00A359FD">
        <w:rPr>
          <w:rFonts w:hint="cs"/>
          <w:rtl/>
        </w:rPr>
        <w:t xml:space="preserve">ة 56 من قانون الأسرة الجزائري، </w:t>
      </w:r>
      <w:r>
        <w:rPr>
          <w:rFonts w:hint="cs"/>
          <w:rtl/>
        </w:rPr>
        <w:t>وكذا على الحكمين أن يطلعا القاضي بما يعترضهما من إشكالات أثناء تنفيذ المهمة، فإن تم الصلح من طرفهما وجب تحرير محضر بذلك ويصادق عليه القاضي، لأن القاضي هو من يعينهما، كما يمكن أن ينهي مهامهما وهذا ما نصت عليه المادة 449 من قانون الإجراءات المدنية والإدارية</w:t>
      </w:r>
      <w:r>
        <w:rPr>
          <w:rStyle w:val="Appelnotedebasdep"/>
          <w:rtl/>
        </w:rPr>
        <w:footnoteReference w:id="58"/>
      </w:r>
      <w:r>
        <w:rPr>
          <w:rFonts w:hint="cs"/>
          <w:rtl/>
        </w:rPr>
        <w:t>.</w:t>
      </w:r>
    </w:p>
    <w:p w:rsidR="00562CF7" w:rsidRDefault="00562CF7" w:rsidP="008A5D2D">
      <w:pPr>
        <w:spacing w:after="0" w:line="360" w:lineRule="auto"/>
        <w:ind w:firstLine="567"/>
        <w:jc w:val="both"/>
        <w:outlineLvl w:val="1"/>
        <w:rPr>
          <w:rtl/>
        </w:rPr>
      </w:pPr>
      <w:bookmarkStart w:id="54" w:name="_Toc461013623"/>
      <w:r>
        <w:rPr>
          <w:rFonts w:hint="cs"/>
          <w:b/>
          <w:bCs/>
          <w:rtl/>
        </w:rPr>
        <w:t>المطلب الثاني</w:t>
      </w:r>
      <w:r>
        <w:rPr>
          <w:rFonts w:hint="cs"/>
          <w:rtl/>
        </w:rPr>
        <w:t>: الآثار المترتبة عن الصلح</w:t>
      </w:r>
      <w:bookmarkEnd w:id="54"/>
    </w:p>
    <w:p w:rsidR="00562CF7" w:rsidRPr="00A359FD" w:rsidRDefault="00562CF7" w:rsidP="00A359FD">
      <w:pPr>
        <w:spacing w:after="0" w:line="360" w:lineRule="auto"/>
        <w:jc w:val="both"/>
        <w:rPr>
          <w:rtl/>
        </w:rPr>
      </w:pPr>
      <w:proofErr w:type="spellStart"/>
      <w:r>
        <w:rPr>
          <w:rFonts w:hint="cs"/>
          <w:rtl/>
        </w:rPr>
        <w:t>بإعتبار</w:t>
      </w:r>
      <w:proofErr w:type="spellEnd"/>
      <w:r>
        <w:rPr>
          <w:rFonts w:hint="cs"/>
          <w:rtl/>
        </w:rPr>
        <w:t xml:space="preserve"> عقد الصلح له صفة العقدية كسائر العقود فإنه يترتب عليه جملة من الآثار.</w:t>
      </w:r>
    </w:p>
    <w:p w:rsidR="00562CF7" w:rsidRDefault="00562CF7" w:rsidP="008A5D2D">
      <w:pPr>
        <w:spacing w:after="0" w:line="360" w:lineRule="auto"/>
        <w:ind w:firstLine="567"/>
        <w:jc w:val="both"/>
        <w:outlineLvl w:val="2"/>
        <w:rPr>
          <w:rtl/>
        </w:rPr>
      </w:pPr>
      <w:bookmarkStart w:id="55" w:name="_Toc461013624"/>
      <w:r>
        <w:rPr>
          <w:rFonts w:hint="cs"/>
          <w:b/>
          <w:bCs/>
          <w:rtl/>
        </w:rPr>
        <w:t>الفرع الأول</w:t>
      </w:r>
      <w:r>
        <w:rPr>
          <w:rFonts w:hint="cs"/>
          <w:rtl/>
        </w:rPr>
        <w:t>: الآثار المترتبة عن الصلح في الفقه</w:t>
      </w:r>
      <w:bookmarkEnd w:id="55"/>
    </w:p>
    <w:p w:rsidR="00562CF7" w:rsidRDefault="00562CF7" w:rsidP="008A5D2D">
      <w:pPr>
        <w:spacing w:after="0" w:line="360" w:lineRule="auto"/>
        <w:ind w:firstLine="566"/>
        <w:jc w:val="both"/>
        <w:rPr>
          <w:rtl/>
        </w:rPr>
      </w:pPr>
      <w:r>
        <w:rPr>
          <w:rFonts w:hint="cs"/>
          <w:rtl/>
        </w:rPr>
        <w:t xml:space="preserve"> تتمثل آثار الصلح في الفقه في قطع المنازعة بين طرفي الخصومة وسقوط دعوى المدعى، فلا يستطيع تحديد الدعوى بشأن موضوعه وذلك متى وقع الصلح مستوفياً لشروطه وعناصره، ويرى </w:t>
      </w:r>
      <w:proofErr w:type="spellStart"/>
      <w:r>
        <w:rPr>
          <w:rFonts w:hint="cs"/>
          <w:rtl/>
        </w:rPr>
        <w:t>الكاساني</w:t>
      </w:r>
      <w:proofErr w:type="spellEnd"/>
      <w:r>
        <w:rPr>
          <w:rFonts w:hint="cs"/>
          <w:rtl/>
        </w:rPr>
        <w:t xml:space="preserve"> أن أصل الحكم الشرعي هو انقطاع الخصومة والمنازعة بين </w:t>
      </w:r>
      <w:r>
        <w:rPr>
          <w:rFonts w:hint="cs"/>
          <w:rtl/>
        </w:rPr>
        <w:lastRenderedPageBreak/>
        <w:t>المتداعين حتى لا تسمع دعواهما بعد ذلك، وهذا حكم لازم جنس الصلح</w:t>
      </w:r>
      <w:r>
        <w:rPr>
          <w:rStyle w:val="Appelnotedebasdep"/>
          <w:rtl/>
        </w:rPr>
        <w:footnoteReference w:id="59"/>
      </w:r>
      <w:r>
        <w:rPr>
          <w:rFonts w:hint="cs"/>
          <w:rtl/>
        </w:rPr>
        <w:t>، ومثاله في حالة حدوث الشقاق بين الزوجين فإن نجاح الحكمين في التوفيق بينهما يقطع الخصومة بينهما وينهيها.</w:t>
      </w:r>
    </w:p>
    <w:p w:rsidR="00562CF7" w:rsidRDefault="00562CF7" w:rsidP="008A5D2D">
      <w:pPr>
        <w:spacing w:after="0" w:line="360" w:lineRule="auto"/>
        <w:ind w:firstLine="567"/>
        <w:jc w:val="both"/>
        <w:outlineLvl w:val="2"/>
        <w:rPr>
          <w:rtl/>
        </w:rPr>
      </w:pPr>
      <w:bookmarkStart w:id="56" w:name="_Toc461013625"/>
      <w:r>
        <w:rPr>
          <w:rFonts w:hint="cs"/>
          <w:b/>
          <w:bCs/>
          <w:rtl/>
        </w:rPr>
        <w:t>الفرع الثاني</w:t>
      </w:r>
      <w:r>
        <w:rPr>
          <w:rFonts w:hint="cs"/>
          <w:rtl/>
        </w:rPr>
        <w:t>: الآثار المترتبة عن الصلح في القانون</w:t>
      </w:r>
      <w:bookmarkEnd w:id="56"/>
    </w:p>
    <w:p w:rsidR="00562CF7" w:rsidRDefault="00562CF7" w:rsidP="008A5D2D">
      <w:pPr>
        <w:spacing w:after="0" w:line="360" w:lineRule="auto"/>
        <w:ind w:firstLine="566"/>
        <w:jc w:val="both"/>
        <w:rPr>
          <w:rtl/>
        </w:rPr>
      </w:pPr>
      <w:r>
        <w:rPr>
          <w:rFonts w:hint="cs"/>
          <w:rtl/>
        </w:rPr>
        <w:t>- حسم النزاع: إذا أبرم صلح بين الطرفين فإن هذا الصلح يحسم النزاع بينهما عن طريق انقضاء الحقوق والادعاءات التي نزل عنها كل من الطرفين، ويستطيع كل من الطرفين أن يلزم الآخر بما تم عليه الصلح، أو بطلب فسخ الصلح إذا لم يقم الطرف الآخر بما التزم به</w:t>
      </w:r>
      <w:r>
        <w:rPr>
          <w:rStyle w:val="Appelnotedebasdep"/>
          <w:rtl/>
        </w:rPr>
        <w:footnoteReference w:id="60"/>
      </w:r>
      <w:r>
        <w:rPr>
          <w:rFonts w:hint="cs"/>
          <w:rtl/>
        </w:rPr>
        <w:t>.</w:t>
      </w:r>
    </w:p>
    <w:p w:rsidR="00562CF7" w:rsidRDefault="00562CF7" w:rsidP="008A5D2D">
      <w:pPr>
        <w:spacing w:after="0" w:line="360" w:lineRule="auto"/>
        <w:ind w:firstLine="566"/>
        <w:jc w:val="both"/>
        <w:rPr>
          <w:rtl/>
        </w:rPr>
      </w:pPr>
      <w:r>
        <w:rPr>
          <w:rFonts w:hint="cs"/>
          <w:rtl/>
        </w:rPr>
        <w:t xml:space="preserve">فينقضي الحق الذي تنازل عنه صاحبه ويثبت هذا الحق للطرف الآخر المتنازل عنه وهذا ما نص عليه المشرع الجزائري في المادة 462 من القانون المدني، وقاضي الموضوع هو الذي يقوم بعملية التنازل وأن يفسرها تفسيراً ضيقاً، فالقاضي لا يخضع لرقابة المحكمة العليا ما دام يستند في تفسيره إلى أسباب </w:t>
      </w:r>
      <w:r w:rsidRPr="00F61D28">
        <w:rPr>
          <w:rFonts w:hint="cs"/>
          <w:rtl/>
        </w:rPr>
        <w:t>شائعة</w:t>
      </w:r>
      <w:r>
        <w:rPr>
          <w:rFonts w:hint="cs"/>
          <w:rtl/>
        </w:rPr>
        <w:t>، فإذا أبرم الصلح بين الطرفين استطاع كل طرف أن يلزم الآخر بهذا الصلح، فيمنعه من تمديد النزاع عن طريق الدفع بالصلح، وهذا ما نص عليه في المادة 464 من القانون المدني الجزائري.</w:t>
      </w:r>
    </w:p>
    <w:p w:rsidR="00562CF7" w:rsidRDefault="00562CF7" w:rsidP="008A5D2D">
      <w:pPr>
        <w:spacing w:after="0" w:line="360" w:lineRule="auto"/>
        <w:ind w:firstLine="566"/>
        <w:jc w:val="both"/>
        <w:rPr>
          <w:rtl/>
        </w:rPr>
      </w:pPr>
      <w:r>
        <w:rPr>
          <w:rFonts w:hint="cs"/>
          <w:rtl/>
        </w:rPr>
        <w:t xml:space="preserve">- الأثر الكاشف والأثر النسبي للصلح: ومعنى أن للصلح أثراً كاشفاً بالنسبة للحقوق المتنازع فيها، وهذا ما نص عليه المشرع الجزائري في المادة 463 من القانون المدني </w:t>
      </w:r>
      <w:r>
        <w:rPr>
          <w:rFonts w:hint="cs"/>
          <w:rtl/>
        </w:rPr>
        <w:lastRenderedPageBreak/>
        <w:t>الجزائري بحيث أن الحق الذي يخلص للمتصالح بالصلح يستند إلى مصدره الأول إلى الصلح، أما الأثر النسبي للصلح فهو مقصور على المحل الذي وقع عليه وعلى الطرفين الذين وقع بينهما وعلى السبب الذي وقع من أجله</w:t>
      </w:r>
      <w:r>
        <w:rPr>
          <w:rStyle w:val="Appelnotedebasdep"/>
          <w:rtl/>
        </w:rPr>
        <w:footnoteReference w:id="61"/>
      </w:r>
      <w:r>
        <w:rPr>
          <w:rFonts w:hint="cs"/>
          <w:rtl/>
        </w:rPr>
        <w:t>.</w:t>
      </w:r>
    </w:p>
    <w:p w:rsidR="00562CF7" w:rsidRDefault="00562CF7" w:rsidP="008A5D2D">
      <w:pPr>
        <w:spacing w:after="0" w:line="360" w:lineRule="auto"/>
        <w:ind w:firstLine="567"/>
        <w:jc w:val="both"/>
        <w:outlineLvl w:val="1"/>
        <w:rPr>
          <w:rtl/>
        </w:rPr>
      </w:pPr>
      <w:bookmarkStart w:id="57" w:name="_Toc461013626"/>
      <w:r>
        <w:rPr>
          <w:rFonts w:hint="cs"/>
          <w:b/>
          <w:bCs/>
          <w:rtl/>
        </w:rPr>
        <w:t>المطلب الثالث</w:t>
      </w:r>
      <w:r>
        <w:rPr>
          <w:rFonts w:hint="cs"/>
          <w:rtl/>
        </w:rPr>
        <w:t>: انقضاء الصلح</w:t>
      </w:r>
      <w:bookmarkEnd w:id="57"/>
      <w:r w:rsidR="003F26AB">
        <w:rPr>
          <w:rFonts w:hint="cs"/>
          <w:rtl/>
        </w:rPr>
        <w:t xml:space="preserve"> في الفقه الإسلامي والقانون الجزائري</w:t>
      </w:r>
    </w:p>
    <w:p w:rsidR="00562CF7" w:rsidRDefault="00562CF7" w:rsidP="008A5D2D">
      <w:pPr>
        <w:spacing w:after="0" w:line="360" w:lineRule="auto"/>
        <w:ind w:firstLine="566"/>
        <w:jc w:val="both"/>
        <w:rPr>
          <w:rtl/>
        </w:rPr>
      </w:pPr>
      <w:proofErr w:type="spellStart"/>
      <w:r>
        <w:rPr>
          <w:rFonts w:hint="cs"/>
          <w:rtl/>
        </w:rPr>
        <w:t>بإعتبار</w:t>
      </w:r>
      <w:proofErr w:type="spellEnd"/>
      <w:r>
        <w:rPr>
          <w:rFonts w:hint="cs"/>
          <w:rtl/>
        </w:rPr>
        <w:t xml:space="preserve"> عقد الصلح عقد ملزم للجانبين فإنه كسائر العقود ينقضي دائما بالفسخ أو البطلان وفقا للقواعد العامة.</w:t>
      </w:r>
    </w:p>
    <w:p w:rsidR="00562CF7" w:rsidRDefault="00562CF7" w:rsidP="008A5D2D">
      <w:pPr>
        <w:spacing w:after="0" w:line="360" w:lineRule="auto"/>
        <w:ind w:firstLine="567"/>
        <w:jc w:val="both"/>
        <w:outlineLvl w:val="2"/>
        <w:rPr>
          <w:rtl/>
        </w:rPr>
      </w:pPr>
      <w:bookmarkStart w:id="58" w:name="_Toc461013627"/>
      <w:r>
        <w:rPr>
          <w:rFonts w:hint="cs"/>
          <w:b/>
          <w:bCs/>
          <w:rtl/>
        </w:rPr>
        <w:t>الفرع الأول</w:t>
      </w:r>
      <w:r>
        <w:rPr>
          <w:rFonts w:hint="cs"/>
          <w:rtl/>
        </w:rPr>
        <w:t>: انقضاء الصلح بالفسخ والبطلان في الفقه الإسلامي</w:t>
      </w:r>
      <w:bookmarkEnd w:id="58"/>
    </w:p>
    <w:p w:rsidR="00562CF7" w:rsidRDefault="00562CF7" w:rsidP="008A5D2D">
      <w:pPr>
        <w:spacing w:after="0" w:line="360" w:lineRule="auto"/>
        <w:ind w:firstLine="566"/>
        <w:jc w:val="both"/>
        <w:rPr>
          <w:rtl/>
        </w:rPr>
      </w:pPr>
      <w:r>
        <w:rPr>
          <w:rFonts w:hint="cs"/>
          <w:rtl/>
        </w:rPr>
        <w:t xml:space="preserve">الفسخ هو عبارة عن نقض الصلح بفعل من العاقدين أو أحدهما فبما أن عقد الصلح ملزم للطرفين بعد وقوعه فلا يصوغ </w:t>
      </w:r>
      <w:proofErr w:type="spellStart"/>
      <w:r>
        <w:rPr>
          <w:rFonts w:hint="cs"/>
          <w:rtl/>
        </w:rPr>
        <w:t>لأيهما</w:t>
      </w:r>
      <w:proofErr w:type="spellEnd"/>
      <w:r>
        <w:rPr>
          <w:rFonts w:hint="cs"/>
          <w:rtl/>
        </w:rPr>
        <w:t xml:space="preserve"> أو لورثته من بعد الرجوع فيه، ويلتزم كل واحد من المتصالحين بما </w:t>
      </w:r>
      <w:proofErr w:type="spellStart"/>
      <w:r>
        <w:rPr>
          <w:rFonts w:hint="cs"/>
          <w:rtl/>
        </w:rPr>
        <w:t>إلتزم</w:t>
      </w:r>
      <w:proofErr w:type="spellEnd"/>
      <w:r>
        <w:rPr>
          <w:rFonts w:hint="cs"/>
          <w:rtl/>
        </w:rPr>
        <w:t xml:space="preserve"> به نحو الآخر ولا يفسخ إذ كان في حكم المعاوضة بأخذ شيء عن آخر إلا بالإقالة أي بتراضي الطرفين ولا يجوز إقالة الصلح إذا تضمن إسقاطا لبعض الحقوق ولا يفسخ الصلح بمعنى المعاوضة لعدم تنفيذ أحد المتعاقدين إلزامه حتى ولو ضاع بدل الصلح أو أستحق وكان مما لا يتعين بالتعيين كالنقود ويلزم من </w:t>
      </w:r>
      <w:proofErr w:type="spellStart"/>
      <w:r>
        <w:rPr>
          <w:rFonts w:hint="cs"/>
          <w:rtl/>
        </w:rPr>
        <w:t>إلتزم</w:t>
      </w:r>
      <w:proofErr w:type="spellEnd"/>
      <w:r>
        <w:rPr>
          <w:rFonts w:hint="cs"/>
          <w:rtl/>
        </w:rPr>
        <w:t xml:space="preserve"> به بمثل ما ضاع أو أستحق أما إذا كان البدل مما يتعين بالتعيين فلا بد من فسخ الصلح لهلاك المحل ويرجع المدعي في الصلح عن إقرار على المدعى عليه بالمدعى به كله أو بعضه فإن كان الصلح </w:t>
      </w:r>
      <w:r>
        <w:rPr>
          <w:rFonts w:hint="cs"/>
          <w:rtl/>
        </w:rPr>
        <w:lastRenderedPageBreak/>
        <w:t>عن إنكار يرجع المدعي إلى المخاصمة</w:t>
      </w:r>
      <w:r>
        <w:rPr>
          <w:rStyle w:val="Appelnotedebasdep"/>
          <w:rtl/>
        </w:rPr>
        <w:footnoteReference w:id="62"/>
      </w:r>
      <w:r>
        <w:rPr>
          <w:rFonts w:hint="cs"/>
          <w:rtl/>
        </w:rPr>
        <w:t xml:space="preserve">، </w:t>
      </w:r>
      <w:r w:rsidRPr="00AC5D4C">
        <w:rPr>
          <w:rFonts w:hint="cs"/>
          <w:rtl/>
        </w:rPr>
        <w:t>فإنه لا يمكن لأحد المتعاقدين أن يفسخ الصلح بل يبقى قائماً</w:t>
      </w:r>
      <w:r>
        <w:rPr>
          <w:rFonts w:hint="cs"/>
          <w:rtl/>
        </w:rPr>
        <w:t xml:space="preserve"> ويجبر المخل بالتزامه بتنفيذه، بل يجب أن يكون الفسخ بتراضي الطرفين وموافقتهما</w:t>
      </w:r>
      <w:r>
        <w:rPr>
          <w:rStyle w:val="Appelnotedebasdep"/>
          <w:rtl/>
        </w:rPr>
        <w:footnoteReference w:id="63"/>
      </w:r>
      <w:r>
        <w:rPr>
          <w:rFonts w:hint="cs"/>
          <w:rtl/>
        </w:rPr>
        <w:t xml:space="preserve">. </w:t>
      </w:r>
    </w:p>
    <w:p w:rsidR="00562CF7" w:rsidRDefault="00562CF7" w:rsidP="008A5D2D">
      <w:pPr>
        <w:spacing w:after="0" w:line="360" w:lineRule="auto"/>
        <w:ind w:firstLine="566"/>
        <w:jc w:val="both"/>
        <w:rPr>
          <w:rtl/>
        </w:rPr>
      </w:pPr>
      <w:r>
        <w:rPr>
          <w:rFonts w:hint="cs"/>
          <w:rtl/>
        </w:rPr>
        <w:t xml:space="preserve">أما البطلان فقد قال </w:t>
      </w:r>
      <w:proofErr w:type="spellStart"/>
      <w:r>
        <w:rPr>
          <w:rFonts w:hint="cs"/>
          <w:rtl/>
        </w:rPr>
        <w:t>الكاساني</w:t>
      </w:r>
      <w:proofErr w:type="spellEnd"/>
      <w:r>
        <w:rPr>
          <w:rFonts w:hint="cs"/>
          <w:rtl/>
        </w:rPr>
        <w:t>: "وأما بيان ما يبطل به الصلح بعد وجود</w:t>
      </w:r>
      <w:r w:rsidRPr="00AC5D4C">
        <w:rPr>
          <w:rFonts w:hint="cs"/>
          <w:rtl/>
        </w:rPr>
        <w:t>ه</w:t>
      </w:r>
      <w:r>
        <w:rPr>
          <w:rFonts w:hint="cs"/>
          <w:rtl/>
        </w:rPr>
        <w:t xml:space="preserve"> فنقول وبالله التوفيق ما يبطل به الصلح أشياء".</w:t>
      </w:r>
    </w:p>
    <w:p w:rsidR="00562CF7" w:rsidRPr="00DB5E8C" w:rsidRDefault="00562CF7" w:rsidP="003F26AB">
      <w:pPr>
        <w:spacing w:after="0" w:line="360" w:lineRule="auto"/>
        <w:ind w:firstLine="566"/>
        <w:jc w:val="both"/>
        <w:rPr>
          <w:rtl/>
        </w:rPr>
      </w:pPr>
      <w:r>
        <w:rPr>
          <w:rFonts w:hint="cs"/>
          <w:rtl/>
        </w:rPr>
        <w:t>ويظهر أنه حصرها في أشياء محددة ومحصورة</w:t>
      </w:r>
      <w:r>
        <w:rPr>
          <w:rStyle w:val="Appelnotedebasdep"/>
          <w:rtl/>
        </w:rPr>
        <w:footnoteReference w:id="64"/>
      </w:r>
      <w:r>
        <w:rPr>
          <w:rFonts w:hint="cs"/>
          <w:rtl/>
        </w:rPr>
        <w:t xml:space="preserve">، كذلك الشافعية قالوا بأن الصلح يبطل بأشياء مثلهم مثل المذهب الحنفي فهذا محل </w:t>
      </w:r>
      <w:proofErr w:type="spellStart"/>
      <w:r>
        <w:rPr>
          <w:rFonts w:hint="cs"/>
          <w:rtl/>
        </w:rPr>
        <w:t>إتفاق</w:t>
      </w:r>
      <w:proofErr w:type="spellEnd"/>
      <w:r>
        <w:rPr>
          <w:rFonts w:hint="cs"/>
          <w:rtl/>
        </w:rPr>
        <w:t xml:space="preserve"> بين الفقهاء</w:t>
      </w:r>
      <w:r>
        <w:rPr>
          <w:rStyle w:val="Appelnotedebasdep"/>
          <w:rtl/>
        </w:rPr>
        <w:footnoteReference w:id="65"/>
      </w:r>
      <w:r>
        <w:rPr>
          <w:rFonts w:hint="cs"/>
          <w:rtl/>
        </w:rPr>
        <w:t>، ومن هاته الأشياء التي تبطل الصلح (الإقالة في غير القصاص، الرد في خيار العيب أو الرؤية) فإذا بطل الصلح رجع المدعي إلى أصل دعواه</w:t>
      </w:r>
      <w:r>
        <w:rPr>
          <w:rStyle w:val="Appelnotedebasdep"/>
          <w:rtl/>
        </w:rPr>
        <w:footnoteReference w:id="66"/>
      </w:r>
      <w:r>
        <w:rPr>
          <w:rFonts w:hint="cs"/>
          <w:rtl/>
        </w:rPr>
        <w:t>.</w:t>
      </w:r>
    </w:p>
    <w:p w:rsidR="00562CF7" w:rsidRDefault="00562CF7" w:rsidP="008A5D2D">
      <w:pPr>
        <w:spacing w:after="0" w:line="360" w:lineRule="auto"/>
        <w:ind w:firstLine="567"/>
        <w:jc w:val="both"/>
        <w:outlineLvl w:val="2"/>
        <w:rPr>
          <w:rtl/>
        </w:rPr>
      </w:pPr>
      <w:bookmarkStart w:id="59" w:name="_Toc461013628"/>
      <w:r>
        <w:rPr>
          <w:rFonts w:hint="cs"/>
          <w:b/>
          <w:bCs/>
          <w:rtl/>
        </w:rPr>
        <w:t>الفرع الثاني</w:t>
      </w:r>
      <w:r>
        <w:rPr>
          <w:rFonts w:hint="cs"/>
          <w:rtl/>
        </w:rPr>
        <w:t>: الفسخ والبطلان في القانون</w:t>
      </w:r>
      <w:bookmarkEnd w:id="59"/>
    </w:p>
    <w:p w:rsidR="00562CF7" w:rsidRDefault="00562CF7" w:rsidP="008A5D2D">
      <w:pPr>
        <w:spacing w:after="0" w:line="360" w:lineRule="auto"/>
        <w:ind w:firstLine="566"/>
        <w:jc w:val="both"/>
        <w:rPr>
          <w:rtl/>
        </w:rPr>
      </w:pPr>
      <w:r>
        <w:rPr>
          <w:rFonts w:hint="cs"/>
          <w:rtl/>
        </w:rPr>
        <w:t xml:space="preserve">فالفسخ ينقضي به الصلح نتيجة عدم تنفيذ طرفي العقد بالتزاماتهما المتفق عليها، فإذا أخل أحد الطرفين بالتزامه جاز للطرف الآخر أن يطلب إما تنفيذ العقد إذا كان التنفيذ العيني لأحكام الصلح ممكنا، وإما طلب فسخ عقد الصلح مع الحق في طلب التعويض في كلتا </w:t>
      </w:r>
      <w:r>
        <w:rPr>
          <w:rFonts w:hint="cs"/>
          <w:rtl/>
        </w:rPr>
        <w:lastRenderedPageBreak/>
        <w:t>الصورتين متى كان مؤسساً، فتطبق القواعد العامة في الفسخ كسائر العقود، وهذا ما جاء النص عليه في المواد من 119 إلى 123 (أحكام الفسخ من القانون المدني الجزائري).</w:t>
      </w:r>
    </w:p>
    <w:p w:rsidR="00CB1ACF" w:rsidRDefault="00562CF7" w:rsidP="008A5D2D">
      <w:pPr>
        <w:spacing w:after="0" w:line="360" w:lineRule="auto"/>
        <w:ind w:firstLine="566"/>
        <w:jc w:val="both"/>
        <w:rPr>
          <w:sz w:val="40"/>
          <w:szCs w:val="40"/>
          <w:rtl/>
        </w:rPr>
      </w:pPr>
      <w:r>
        <w:rPr>
          <w:rFonts w:hint="cs"/>
          <w:rtl/>
        </w:rPr>
        <w:t>أما البطلان فيكون مطلقاً إذا انعدم أحد أركانه، أو كان سببه أو محله غير مشروع أو غير صحيح الشروط، أما النسبي فيكون في حالة عدم صحة التراضي، فبطلان جزء من الصلح يقتضي بطلان العقد كله، وهذا ما نص عليه في المادة 466 من القانون المدني الجزائري، كما أنه لا يمكن الطعن في الصلح لغلط في القانون، فالمقرر أن الغلط يصيب إرادة المتعاقد فله حق طلب إبطال العقد</w:t>
      </w:r>
      <w:r>
        <w:rPr>
          <w:rStyle w:val="Appelnotedebasdep"/>
          <w:rtl/>
        </w:rPr>
        <w:footnoteReference w:id="67"/>
      </w:r>
      <w:r>
        <w:rPr>
          <w:rFonts w:hint="cs"/>
          <w:rtl/>
        </w:rPr>
        <w:t>.</w:t>
      </w:r>
    </w:p>
    <w:p w:rsidR="00C57BE2" w:rsidRDefault="00C57BE2" w:rsidP="008A5D2D">
      <w:pPr>
        <w:spacing w:after="0" w:line="360" w:lineRule="auto"/>
        <w:ind w:firstLine="566"/>
        <w:jc w:val="both"/>
        <w:rPr>
          <w:sz w:val="40"/>
          <w:szCs w:val="40"/>
          <w:rtl/>
        </w:rPr>
        <w:sectPr w:rsidR="00C57BE2" w:rsidSect="004A2766">
          <w:headerReference w:type="default" r:id="rId19"/>
          <w:footerReference w:type="default" r:id="rId20"/>
          <w:footnotePr>
            <w:numRestart w:val="eachPage"/>
          </w:footnotePr>
          <w:pgSz w:w="11906" w:h="16838"/>
          <w:pgMar w:top="1134" w:right="1701" w:bottom="1134" w:left="1134" w:header="709" w:footer="709" w:gutter="0"/>
          <w:cols w:space="708"/>
          <w:bidi/>
          <w:rtlGutter/>
          <w:docGrid w:linePitch="435"/>
        </w:sectPr>
      </w:pPr>
    </w:p>
    <w:p w:rsidR="00C57BE2" w:rsidRDefault="00C57BE2" w:rsidP="008A5D2D">
      <w:pPr>
        <w:spacing w:after="0" w:line="240" w:lineRule="auto"/>
        <w:jc w:val="both"/>
        <w:rPr>
          <w:b/>
          <w:bCs/>
          <w:rtl/>
        </w:rPr>
      </w:pPr>
      <w:r>
        <w:rPr>
          <w:b/>
          <w:bCs/>
          <w:noProof/>
          <w:rtl/>
          <w:lang w:eastAsia="fr-FR" w:bidi="ar-SA"/>
        </w:rPr>
        <w:lastRenderedPageBreak/>
        <w:drawing>
          <wp:anchor distT="0" distB="0" distL="114300" distR="114300" simplePos="0" relativeHeight="251673600" behindDoc="0" locked="0" layoutInCell="1" allowOverlap="1">
            <wp:simplePos x="0" y="0"/>
            <wp:positionH relativeFrom="column">
              <wp:posOffset>70485</wp:posOffset>
            </wp:positionH>
            <wp:positionV relativeFrom="paragraph">
              <wp:posOffset>-176530</wp:posOffset>
            </wp:positionV>
            <wp:extent cx="5886450" cy="709930"/>
            <wp:effectExtent l="76200" t="0" r="304800" b="204470"/>
            <wp:wrapNone/>
            <wp:docPr id="30"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5886450"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C57BE2" w:rsidRDefault="00C57BE2" w:rsidP="008A5D2D">
      <w:pPr>
        <w:spacing w:after="0"/>
        <w:jc w:val="both"/>
        <w:rPr>
          <w:b/>
          <w:bCs/>
          <w:rtl/>
        </w:rPr>
      </w:pPr>
    </w:p>
    <w:p w:rsidR="00C57BE2" w:rsidRDefault="00BB7C56" w:rsidP="008A5D2D">
      <w:pPr>
        <w:spacing w:after="0"/>
        <w:jc w:val="both"/>
        <w:rPr>
          <w:b/>
          <w:bCs/>
          <w:rtl/>
        </w:rPr>
      </w:pPr>
      <w:r>
        <w:rPr>
          <w:rFonts w:cstheme="minorBidi"/>
          <w:noProof/>
          <w:sz w:val="22"/>
          <w:szCs w:val="22"/>
          <w:rtl/>
          <w:lang w:val="en-US" w:bidi="ar-SA"/>
        </w:rPr>
        <w:pict>
          <v:roundrect id="مستطيل مستدير الزوايا 32" o:spid="_x0000_s1032" style="position:absolute;left:0;text-align:left;margin-left:7.05pt;margin-top:20.25pt;width:465.75pt;height:552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" fillcolor="white [3201]" strokecolor="black [3200]" strokeweight="5pt">
            <v:stroke linestyle="thickThin"/>
            <v:shadow color="#868686"/>
            <v:textbox>
              <w:txbxContent>
                <w:p w:rsidR="0012210E" w:rsidRPr="00811AB9" w:rsidRDefault="0012210E" w:rsidP="008A5D2D">
                  <w:pPr>
                    <w:spacing w:after="0" w:line="240" w:lineRule="auto"/>
                    <w:jc w:val="center"/>
                    <w:outlineLvl w:val="0"/>
                    <w:rPr>
                      <w:sz w:val="150"/>
                      <w:szCs w:val="150"/>
                      <w:rtl/>
                    </w:rPr>
                  </w:pPr>
                  <w:bookmarkStart w:id="60" w:name="_Toc461013629"/>
                  <w:r w:rsidRPr="00811AB9">
                    <w:rPr>
                      <w:sz w:val="150"/>
                      <w:szCs w:val="150"/>
                      <w:rtl/>
                    </w:rPr>
                    <w:t>الفصل الثاني:</w:t>
                  </w:r>
                  <w:bookmarkEnd w:id="60"/>
                </w:p>
                <w:p w:rsidR="0012210E" w:rsidRPr="00811AB9" w:rsidRDefault="0012210E" w:rsidP="008A5D2D">
                  <w:pPr>
                    <w:spacing w:after="0" w:line="240" w:lineRule="auto"/>
                    <w:jc w:val="center"/>
                    <w:outlineLvl w:val="0"/>
                    <w:rPr>
                      <w:rFonts w:ascii="Traditional Arabic" w:hAnsi="Traditional Arabic" w:cs="Kufi Outline Shaded"/>
                      <w:sz w:val="150"/>
                      <w:szCs w:val="150"/>
                      <w:rtl/>
                    </w:rPr>
                  </w:pPr>
                  <w:bookmarkStart w:id="61" w:name="_Toc461013630"/>
                  <w:r>
                    <w:rPr>
                      <w:rFonts w:eastAsiaTheme="majorEastAsia" w:hint="cs"/>
                      <w:sz w:val="150"/>
                      <w:szCs w:val="150"/>
                      <w:rtl/>
                    </w:rPr>
                    <w:t>الصلح في قضايا الأسرة</w:t>
                  </w:r>
                  <w:bookmarkEnd w:id="61"/>
                </w:p>
              </w:txbxContent>
            </v:textbox>
          </v:roundrect>
        </w:pict>
      </w:r>
    </w:p>
    <w:p w:rsidR="00C57BE2" w:rsidRDefault="00C57BE2" w:rsidP="008A5D2D">
      <w:pPr>
        <w:tabs>
          <w:tab w:val="left" w:pos="3641"/>
        </w:tabs>
        <w:spacing w:before="240" w:after="0" w:line="240" w:lineRule="auto"/>
        <w:jc w:val="both"/>
        <w:rPr>
          <w:rFonts w:eastAsia="Calibri"/>
          <w:b/>
          <w:bCs/>
          <w:sz w:val="28"/>
          <w:szCs w:val="28"/>
          <w:rtl/>
        </w:rPr>
      </w:pPr>
      <w:r>
        <w:rPr>
          <w:rFonts w:eastAsia="Calibri"/>
          <w:b/>
          <w:bCs/>
          <w:sz w:val="28"/>
          <w:szCs w:val="28"/>
          <w:rtl/>
        </w:rPr>
        <w:tab/>
      </w: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1841"/>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Default="00C57BE2" w:rsidP="008A5D2D">
      <w:pPr>
        <w:spacing w:after="0" w:line="240" w:lineRule="auto"/>
        <w:jc w:val="both"/>
        <w:rPr>
          <w:b/>
          <w:bCs/>
          <w:rtl/>
        </w:rPr>
      </w:pPr>
    </w:p>
    <w:p w:rsidR="00C57BE2"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5E4187" w:rsidRDefault="00C57BE2" w:rsidP="008A5D2D">
      <w:pPr>
        <w:spacing w:after="0" w:line="240" w:lineRule="auto"/>
        <w:jc w:val="both"/>
      </w:pPr>
      <w:r>
        <w:rPr>
          <w:noProof/>
          <w:lang w:eastAsia="fr-FR" w:bidi="ar-SA"/>
        </w:rPr>
        <w:drawing>
          <wp:anchor distT="0" distB="0" distL="114300" distR="114300" simplePos="0" relativeHeight="251672576" behindDoc="0" locked="0" layoutInCell="1" allowOverlap="1">
            <wp:simplePos x="0" y="0"/>
            <wp:positionH relativeFrom="column">
              <wp:posOffset>-81915</wp:posOffset>
            </wp:positionH>
            <wp:positionV relativeFrom="paragraph">
              <wp:posOffset>139065</wp:posOffset>
            </wp:positionV>
            <wp:extent cx="6296025" cy="714375"/>
            <wp:effectExtent l="114300" t="0" r="295275" b="123825"/>
            <wp:wrapNone/>
            <wp:docPr id="31"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6296025" cy="714375"/>
                    </a:xfrm>
                    <a:prstGeom prst="rect">
                      <a:avLst/>
                    </a:prstGeom>
                    <a:ln>
                      <a:noFill/>
                    </a:ln>
                    <a:effectLst>
                      <a:outerShdw blurRad="292100" dist="139700" dir="2700000" algn="tl" rotWithShape="0">
                        <a:srgbClr val="333333">
                          <a:alpha val="65000"/>
                        </a:srgbClr>
                      </a:outerShdw>
                    </a:effectLst>
                  </pic:spPr>
                </pic:pic>
              </a:graphicData>
            </a:graphic>
          </wp:anchor>
        </w:drawing>
      </w:r>
    </w:p>
    <w:p w:rsidR="00C57BE2" w:rsidRDefault="00C57BE2" w:rsidP="008A5D2D">
      <w:pPr>
        <w:spacing w:after="0" w:line="360" w:lineRule="auto"/>
        <w:ind w:firstLine="566"/>
        <w:jc w:val="both"/>
        <w:rPr>
          <w:sz w:val="40"/>
          <w:szCs w:val="40"/>
          <w:rtl/>
        </w:rPr>
        <w:sectPr w:rsidR="00C57BE2" w:rsidSect="004A2766">
          <w:headerReference w:type="default" r:id="rId21"/>
          <w:footerReference w:type="default" r:id="rId22"/>
          <w:footnotePr>
            <w:numRestart w:val="eachPage"/>
          </w:footnotePr>
          <w:pgSz w:w="11906" w:h="16838"/>
          <w:pgMar w:top="1134" w:right="1701" w:bottom="1134" w:left="1134" w:header="709" w:footer="709" w:gutter="0"/>
          <w:cols w:space="708"/>
          <w:bidi/>
          <w:rtlGutter/>
          <w:docGrid w:linePitch="435"/>
        </w:sectPr>
      </w:pPr>
    </w:p>
    <w:p w:rsidR="00C57BE2" w:rsidRPr="008610BE" w:rsidRDefault="00C57BE2" w:rsidP="008A5D2D">
      <w:pPr>
        <w:spacing w:after="0" w:line="360" w:lineRule="auto"/>
        <w:ind w:firstLine="566"/>
        <w:jc w:val="both"/>
        <w:rPr>
          <w:rtl/>
        </w:rPr>
      </w:pPr>
      <w:r w:rsidRPr="008610BE">
        <w:rPr>
          <w:rtl/>
        </w:rPr>
        <w:lastRenderedPageBreak/>
        <w:t>تعتبر الأسرة الخلية الأساسية للمجتمع بها يرقى ويزدهر، لذا وضع الشرع والقانون عدة وسائل لحمايته وحماية عقدتها، فمن هاته الوسائل "</w:t>
      </w:r>
      <w:r w:rsidRPr="008610BE">
        <w:rPr>
          <w:b/>
          <w:bCs/>
          <w:rtl/>
        </w:rPr>
        <w:t>الصلح</w:t>
      </w:r>
      <w:r w:rsidRPr="008610BE">
        <w:rPr>
          <w:rtl/>
        </w:rPr>
        <w:t>" الذي يعد آلية لصيانة العلاقة الزوجية.</w:t>
      </w:r>
    </w:p>
    <w:p w:rsidR="00C57BE2" w:rsidRPr="008610BE" w:rsidRDefault="00C57BE2" w:rsidP="008A5D2D">
      <w:pPr>
        <w:spacing w:after="0" w:line="360" w:lineRule="auto"/>
        <w:ind w:firstLine="566"/>
        <w:jc w:val="both"/>
        <w:rPr>
          <w:rtl/>
        </w:rPr>
      </w:pPr>
      <w:r w:rsidRPr="008610BE">
        <w:rPr>
          <w:rtl/>
        </w:rPr>
        <w:t>فالشرع بين هاته الوسيلة في عدة آيات قرآنية وكذا السنة النبوية وأجمع عليه العلماء والفقهاء، أما القانون فخصها في عدة مواد، فمن حالات الصلح في قضايا الأسرة ما يلي:</w:t>
      </w:r>
    </w:p>
    <w:p w:rsidR="00C57BE2" w:rsidRPr="008610BE" w:rsidRDefault="00C57BE2" w:rsidP="008A5D2D">
      <w:pPr>
        <w:spacing w:after="0" w:line="360" w:lineRule="auto"/>
        <w:ind w:firstLine="566"/>
        <w:jc w:val="both"/>
        <w:rPr>
          <w:rtl/>
        </w:rPr>
      </w:pPr>
      <w:r w:rsidRPr="008610BE">
        <w:rPr>
          <w:rtl/>
        </w:rPr>
        <w:t>- التحكيم في الشقاق بين الزوجين.</w:t>
      </w:r>
    </w:p>
    <w:p w:rsidR="00C57BE2" w:rsidRPr="008610BE" w:rsidRDefault="00C57BE2" w:rsidP="008A5D2D">
      <w:pPr>
        <w:spacing w:after="0" w:line="360" w:lineRule="auto"/>
        <w:ind w:firstLine="566"/>
        <w:jc w:val="both"/>
        <w:rPr>
          <w:rtl/>
        </w:rPr>
      </w:pPr>
      <w:r w:rsidRPr="008610BE">
        <w:rPr>
          <w:rtl/>
        </w:rPr>
        <w:t>- الصلح في حالة النشوز.</w:t>
      </w:r>
    </w:p>
    <w:p w:rsidR="00C57BE2" w:rsidRPr="008610BE" w:rsidRDefault="00C57BE2" w:rsidP="008A5D2D">
      <w:pPr>
        <w:spacing w:after="0" w:line="360" w:lineRule="auto"/>
        <w:ind w:firstLine="566"/>
        <w:jc w:val="both"/>
        <w:rPr>
          <w:rtl/>
        </w:rPr>
      </w:pPr>
      <w:r w:rsidRPr="008610BE">
        <w:rPr>
          <w:rtl/>
        </w:rPr>
        <w:t>- الصلح في الطلاق.</w:t>
      </w:r>
    </w:p>
    <w:p w:rsidR="00C57BE2" w:rsidRPr="008610BE" w:rsidRDefault="00C57BE2" w:rsidP="008A5D2D">
      <w:pPr>
        <w:spacing w:after="0" w:line="360" w:lineRule="auto"/>
        <w:ind w:firstLine="566"/>
        <w:jc w:val="both"/>
        <w:rPr>
          <w:rtl/>
        </w:rPr>
      </w:pPr>
      <w:r w:rsidRPr="008610BE">
        <w:rPr>
          <w:rtl/>
        </w:rPr>
        <w:t>وهو ما سنبحثه ها هنا فيما يلي من محاور وبنود.</w:t>
      </w:r>
    </w:p>
    <w:p w:rsidR="00C57BE2" w:rsidRPr="008610BE" w:rsidRDefault="00C57BE2" w:rsidP="008A5D2D">
      <w:pPr>
        <w:spacing w:after="0" w:line="360" w:lineRule="auto"/>
        <w:ind w:firstLine="566"/>
        <w:jc w:val="both"/>
        <w:rPr>
          <w:rtl/>
        </w:rPr>
      </w:pPr>
    </w:p>
    <w:p w:rsidR="00C57BE2" w:rsidRPr="008610BE" w:rsidRDefault="00C57BE2" w:rsidP="008A5D2D">
      <w:pPr>
        <w:spacing w:after="0" w:line="360" w:lineRule="auto"/>
        <w:ind w:firstLine="566"/>
        <w:jc w:val="both"/>
        <w:rPr>
          <w:rtl/>
        </w:rPr>
      </w:pPr>
    </w:p>
    <w:p w:rsidR="00C57BE2" w:rsidRPr="008610BE" w:rsidRDefault="00C57BE2" w:rsidP="008A5D2D">
      <w:pPr>
        <w:spacing w:after="0" w:line="360" w:lineRule="auto"/>
        <w:ind w:firstLine="566"/>
        <w:jc w:val="both"/>
        <w:rPr>
          <w:rtl/>
        </w:rPr>
      </w:pPr>
    </w:p>
    <w:p w:rsidR="00C57BE2" w:rsidRPr="008610BE" w:rsidRDefault="00C57BE2" w:rsidP="008A5D2D">
      <w:pPr>
        <w:spacing w:after="0" w:line="360" w:lineRule="auto"/>
        <w:ind w:firstLine="566"/>
        <w:jc w:val="both"/>
        <w:rPr>
          <w:rtl/>
        </w:rPr>
      </w:pPr>
    </w:p>
    <w:p w:rsidR="00C57BE2" w:rsidRPr="008610BE" w:rsidRDefault="00C57BE2" w:rsidP="008A5D2D">
      <w:pPr>
        <w:spacing w:after="0" w:line="360" w:lineRule="auto"/>
        <w:ind w:firstLine="566"/>
        <w:jc w:val="both"/>
        <w:rPr>
          <w:rtl/>
        </w:rPr>
      </w:pPr>
    </w:p>
    <w:p w:rsidR="00C57BE2" w:rsidRPr="008610BE" w:rsidRDefault="00C57BE2" w:rsidP="008A5D2D">
      <w:pPr>
        <w:spacing w:after="0" w:line="360" w:lineRule="auto"/>
        <w:jc w:val="both"/>
        <w:rPr>
          <w:rtl/>
        </w:rPr>
      </w:pPr>
    </w:p>
    <w:p w:rsidR="00C57BE2" w:rsidRDefault="00C57BE2" w:rsidP="008A5D2D">
      <w:pPr>
        <w:spacing w:after="0" w:line="360" w:lineRule="auto"/>
        <w:jc w:val="both"/>
        <w:rPr>
          <w:b/>
          <w:bCs/>
          <w:rtl/>
        </w:rPr>
      </w:pPr>
    </w:p>
    <w:p w:rsidR="00C57BE2" w:rsidRDefault="00C57BE2" w:rsidP="008A5D2D">
      <w:pPr>
        <w:spacing w:after="0" w:line="360" w:lineRule="auto"/>
        <w:jc w:val="both"/>
        <w:rPr>
          <w:b/>
          <w:bCs/>
          <w:rtl/>
        </w:rPr>
      </w:pPr>
    </w:p>
    <w:p w:rsidR="00C57BE2" w:rsidRPr="008610BE" w:rsidRDefault="00C57BE2" w:rsidP="008A5D2D">
      <w:pPr>
        <w:spacing w:after="0" w:line="360" w:lineRule="auto"/>
        <w:ind w:firstLine="567"/>
        <w:jc w:val="both"/>
        <w:outlineLvl w:val="0"/>
        <w:rPr>
          <w:rtl/>
        </w:rPr>
      </w:pPr>
      <w:bookmarkStart w:id="62" w:name="_Toc461013631"/>
      <w:r w:rsidRPr="008610BE">
        <w:rPr>
          <w:b/>
          <w:bCs/>
          <w:rtl/>
        </w:rPr>
        <w:lastRenderedPageBreak/>
        <w:t>المبحث الأول</w:t>
      </w:r>
      <w:r w:rsidRPr="008610BE">
        <w:rPr>
          <w:rtl/>
        </w:rPr>
        <w:t>: الصلح في الشقاق بين الزوجين</w:t>
      </w:r>
      <w:bookmarkEnd w:id="62"/>
    </w:p>
    <w:p w:rsidR="00C57BE2" w:rsidRPr="008610BE" w:rsidRDefault="00C57BE2" w:rsidP="008A5D2D">
      <w:pPr>
        <w:spacing w:after="0" w:line="360" w:lineRule="auto"/>
        <w:ind w:firstLine="566"/>
        <w:jc w:val="both"/>
        <w:rPr>
          <w:rtl/>
        </w:rPr>
      </w:pPr>
      <w:r w:rsidRPr="008610BE">
        <w:rPr>
          <w:rtl/>
        </w:rPr>
        <w:t>خص المشرع الجزائري التحكيم في الشقاق بين الزوجين في مادة واحدة من قانون الأسرة هي المادة 56 منه دون أن يبين كيفية التعامل معه.</w:t>
      </w:r>
    </w:p>
    <w:p w:rsidR="00C57BE2" w:rsidRPr="008610BE" w:rsidRDefault="00C57BE2" w:rsidP="008A5D2D">
      <w:pPr>
        <w:spacing w:after="0" w:line="360" w:lineRule="auto"/>
        <w:ind w:firstLine="566"/>
        <w:jc w:val="both"/>
        <w:rPr>
          <w:rtl/>
        </w:rPr>
      </w:pPr>
      <w:r w:rsidRPr="008610BE">
        <w:rPr>
          <w:rtl/>
        </w:rPr>
        <w:t>يعتبر التحكيم بين الزوجين هو تولية الزوجين المتنازعين رجلين من أهلهما للإصلاح بينهما والفصل في خصومتهما، فالمراد بالإصلاح هنا هو فعل ما هو الأصلح للزوجين، فقد يكون لهما الحق في الافتراق أو البقاء على الحياة الزوجية، إذ أنه يعتبر الوسيلة الأولى للتوفيق بين الزوجين، وهذا ما سنبينه في هذا المبحث.</w:t>
      </w:r>
    </w:p>
    <w:p w:rsidR="00C57BE2" w:rsidRPr="008610BE" w:rsidRDefault="00C57BE2" w:rsidP="008A5D2D">
      <w:pPr>
        <w:spacing w:after="0" w:line="360" w:lineRule="auto"/>
        <w:ind w:firstLine="567"/>
        <w:jc w:val="both"/>
        <w:outlineLvl w:val="1"/>
        <w:rPr>
          <w:rtl/>
        </w:rPr>
      </w:pPr>
      <w:bookmarkStart w:id="63" w:name="_Toc461013632"/>
      <w:r w:rsidRPr="008610BE">
        <w:rPr>
          <w:b/>
          <w:bCs/>
          <w:rtl/>
        </w:rPr>
        <w:t>المطلب الأول</w:t>
      </w:r>
      <w:r w:rsidRPr="008610BE">
        <w:rPr>
          <w:rtl/>
        </w:rPr>
        <w:t>: أحكام التحكيم في الشقاق بين الزوجين</w:t>
      </w:r>
      <w:bookmarkEnd w:id="63"/>
    </w:p>
    <w:p w:rsidR="00C57BE2" w:rsidRPr="008610BE" w:rsidRDefault="00C57BE2" w:rsidP="008A5D2D">
      <w:pPr>
        <w:spacing w:after="0" w:line="360" w:lineRule="auto"/>
        <w:ind w:firstLine="566"/>
        <w:jc w:val="both"/>
        <w:rPr>
          <w:rtl/>
        </w:rPr>
      </w:pPr>
      <w:r w:rsidRPr="008610BE">
        <w:rPr>
          <w:rtl/>
        </w:rPr>
        <w:t>تعتبر أحكام التحكيم في الشقاق بين الزوجين شاملة بأهم مسائله الأولية والأساسية وهذا ما سيأتي بيانه.</w:t>
      </w:r>
    </w:p>
    <w:p w:rsidR="00C57BE2" w:rsidRPr="008610BE" w:rsidRDefault="00C57BE2" w:rsidP="008A5D2D">
      <w:pPr>
        <w:spacing w:after="0" w:line="360" w:lineRule="auto"/>
        <w:ind w:firstLine="567"/>
        <w:jc w:val="both"/>
        <w:outlineLvl w:val="2"/>
        <w:rPr>
          <w:rtl/>
        </w:rPr>
      </w:pPr>
      <w:bookmarkStart w:id="64" w:name="_Toc461013633"/>
      <w:r w:rsidRPr="008610BE">
        <w:rPr>
          <w:b/>
          <w:bCs/>
          <w:rtl/>
        </w:rPr>
        <w:t>الفرع الأول</w:t>
      </w:r>
      <w:r w:rsidRPr="008610BE">
        <w:rPr>
          <w:rtl/>
        </w:rPr>
        <w:t>: شروط بعث الحكمين</w:t>
      </w:r>
      <w:bookmarkEnd w:id="64"/>
    </w:p>
    <w:p w:rsidR="00C57BE2" w:rsidRPr="008610BE" w:rsidRDefault="00C57BE2" w:rsidP="008A5D2D">
      <w:pPr>
        <w:spacing w:after="0" w:line="360" w:lineRule="auto"/>
        <w:ind w:firstLine="566"/>
        <w:jc w:val="both"/>
        <w:rPr>
          <w:rtl/>
        </w:rPr>
      </w:pPr>
      <w:r w:rsidRPr="008610BE">
        <w:rPr>
          <w:rtl/>
        </w:rPr>
        <w:t>- وجود رابطة زوجية قائمة، ويتجلى ذلك بزواج شرعي وقانوني مستوفي جميع الأركان والشروط الشرعية والقانونية، فمتى توافرت هذه الشروط انعقد الزواج الشرعي وتحققت الرابطة الزوجية، وبهذا يمكن بعث الحكمين عند الشقاق بين الزوجين.</w:t>
      </w:r>
    </w:p>
    <w:p w:rsidR="00C57BE2" w:rsidRPr="008610BE" w:rsidRDefault="00C57BE2" w:rsidP="008A5D2D">
      <w:pPr>
        <w:spacing w:after="0" w:line="360" w:lineRule="auto"/>
        <w:ind w:firstLine="566"/>
        <w:jc w:val="both"/>
        <w:rPr>
          <w:rtl/>
        </w:rPr>
      </w:pPr>
      <w:r w:rsidRPr="008610BE">
        <w:rPr>
          <w:rtl/>
        </w:rPr>
        <w:t>- وجود خصام بين الزوجين، قال تعالى: "وَإِنْ خِفْتُمْ شِقَاقَ بَيْنِهِمَا فَابْعَثُوا حَكَمًا مِنْ أَهْلِهِ وَحَكَمًا مِنْ أَهْلِهَا إِنْ يُرِيدَا إِصْلاحًا يُوَفِّقِ اللَّهُ بَيْنَهُمَا"</w:t>
      </w:r>
      <w:r w:rsidRPr="008610BE">
        <w:rPr>
          <w:rStyle w:val="Appelnotedebasdep"/>
          <w:rtl/>
        </w:rPr>
        <w:footnoteReference w:id="68"/>
      </w:r>
      <w:r w:rsidRPr="008610BE">
        <w:rPr>
          <w:rtl/>
        </w:rPr>
        <w:t>.</w:t>
      </w:r>
    </w:p>
    <w:p w:rsidR="00C57BE2" w:rsidRPr="008610BE" w:rsidRDefault="00C57BE2" w:rsidP="008A5D2D">
      <w:pPr>
        <w:spacing w:after="0" w:line="360" w:lineRule="auto"/>
        <w:ind w:firstLine="566"/>
        <w:jc w:val="both"/>
        <w:rPr>
          <w:rtl/>
        </w:rPr>
      </w:pPr>
      <w:r w:rsidRPr="008610BE">
        <w:rPr>
          <w:rtl/>
        </w:rPr>
        <w:lastRenderedPageBreak/>
        <w:t>وقد جاء في أوضح التفاسير ما يلي:</w:t>
      </w:r>
    </w:p>
    <w:p w:rsidR="00C57BE2" w:rsidRPr="008610BE" w:rsidRDefault="00C57BE2" w:rsidP="008A5D2D">
      <w:pPr>
        <w:autoSpaceDE w:val="0"/>
        <w:autoSpaceDN w:val="0"/>
        <w:adjustRightInd w:val="0"/>
        <w:spacing w:after="0" w:line="360" w:lineRule="auto"/>
        <w:jc w:val="both"/>
        <w:rPr>
          <w:rtl/>
        </w:rPr>
      </w:pPr>
      <w:r w:rsidRPr="008610BE">
        <w:rPr>
          <w:rtl/>
        </w:rPr>
        <w:t xml:space="preserve">{وَإِنْ خِفْتُمْ شِقَاقَ بَيْنِهِمَا} أي إن استحكم هذا الشقاق، وخشيتم عواقبه؛ ولم تتأدب بما أدبها الله تعالى به، أو تجاوز الزوج حدود الله في تأديبها (فَابْعَثُواْ حَكَماً مِّنْ أَهْلِهِ وَحَكَماً مِّنْ </w:t>
      </w:r>
      <w:proofErr w:type="spellStart"/>
      <w:r w:rsidRPr="008610BE">
        <w:rPr>
          <w:rtl/>
        </w:rPr>
        <w:t>أَهْلِهَآ</w:t>
      </w:r>
      <w:proofErr w:type="spellEnd"/>
      <w:r w:rsidRPr="008610BE">
        <w:rPr>
          <w:rtl/>
        </w:rPr>
        <w:t xml:space="preserve">) ليبحثا ما بين الزوجين من خلاف (إِن </w:t>
      </w:r>
      <w:proofErr w:type="spellStart"/>
      <w:r w:rsidRPr="008610BE">
        <w:rPr>
          <w:rtl/>
        </w:rPr>
        <w:t>يُرِيدَآ</w:t>
      </w:r>
      <w:proofErr w:type="spellEnd"/>
      <w:r w:rsidRPr="008610BE">
        <w:rPr>
          <w:rtl/>
        </w:rPr>
        <w:t xml:space="preserve">) الحكمان (إِصْلاَحاً) بين الزوجين (يُوَفِّقِ اللَّهُ </w:t>
      </w:r>
      <w:proofErr w:type="spellStart"/>
      <w:r w:rsidRPr="008610BE">
        <w:rPr>
          <w:rtl/>
        </w:rPr>
        <w:t>بَيْنَهُمَآ</w:t>
      </w:r>
      <w:proofErr w:type="spellEnd"/>
      <w:r w:rsidRPr="008610BE">
        <w:rPr>
          <w:rtl/>
        </w:rPr>
        <w:t>) أي بين الحكمين؛ فيزيلا ما بين الزوجين. أو «يوفق الله بينهما» أي بين الزوجين (إِنَّ اللَّهَ كَانَ عَلِيماً) بما فعله الحكمان (خَبِيراً) بمكنون صدورهما</w:t>
      </w:r>
      <w:r w:rsidRPr="008610BE">
        <w:rPr>
          <w:rStyle w:val="Appelnotedebasdep"/>
          <w:rtl/>
        </w:rPr>
        <w:footnoteReference w:id="69"/>
      </w:r>
      <w:r w:rsidRPr="008610BE">
        <w:rPr>
          <w:rtl/>
        </w:rPr>
        <w:t>.</w:t>
      </w:r>
    </w:p>
    <w:p w:rsidR="00C57BE2" w:rsidRPr="008610BE" w:rsidRDefault="00C57BE2" w:rsidP="008A5D2D">
      <w:pPr>
        <w:spacing w:after="0" w:line="360" w:lineRule="auto"/>
        <w:ind w:firstLine="566"/>
        <w:jc w:val="both"/>
        <w:rPr>
          <w:rtl/>
        </w:rPr>
      </w:pPr>
      <w:r w:rsidRPr="008610BE">
        <w:rPr>
          <w:rtl/>
        </w:rPr>
        <w:t>أما المشرع الجزائري فاشترط هذا الشرط في المادة 56 من قانون الأسرة، فالمشرع بقوله: "إذا اشتد الخصام بين الزوجين، فكان الأولى أن يقول عند حدوث الخصام وليس لاشتداده حتى يتم بعث الحكمين".</w:t>
      </w:r>
    </w:p>
    <w:p w:rsidR="00C57BE2" w:rsidRPr="008610BE" w:rsidRDefault="00C57BE2" w:rsidP="008A5D2D">
      <w:pPr>
        <w:spacing w:after="0" w:line="360" w:lineRule="auto"/>
        <w:ind w:firstLine="566"/>
        <w:jc w:val="both"/>
        <w:rPr>
          <w:rtl/>
        </w:rPr>
      </w:pPr>
      <w:r w:rsidRPr="008610BE">
        <w:rPr>
          <w:rtl/>
        </w:rPr>
        <w:t>كذلك عبارة "</w:t>
      </w:r>
      <w:r w:rsidRPr="008610BE">
        <w:rPr>
          <w:b/>
          <w:bCs/>
          <w:rtl/>
        </w:rPr>
        <w:t>لم يثبت الضرر</w:t>
      </w:r>
      <w:r w:rsidRPr="008610BE">
        <w:rPr>
          <w:rtl/>
        </w:rPr>
        <w:t>" فهي تطرح غموض، بحيث أن الحكمين لا يثبتون الضرر فالبديهي أنه لا وجود لخصام بدون ضرر لأحد الزوجين على الأقل.</w:t>
      </w:r>
    </w:p>
    <w:p w:rsidR="00C57BE2" w:rsidRPr="008610BE" w:rsidRDefault="00C57BE2" w:rsidP="008A5D2D">
      <w:pPr>
        <w:spacing w:after="0" w:line="360" w:lineRule="auto"/>
        <w:ind w:firstLine="567"/>
        <w:jc w:val="both"/>
        <w:outlineLvl w:val="2"/>
        <w:rPr>
          <w:rtl/>
        </w:rPr>
      </w:pPr>
      <w:bookmarkStart w:id="65" w:name="_Toc461013634"/>
      <w:r w:rsidRPr="008610BE">
        <w:rPr>
          <w:b/>
          <w:bCs/>
          <w:rtl/>
        </w:rPr>
        <w:t>الفرع الثاني</w:t>
      </w:r>
      <w:r w:rsidRPr="008610BE">
        <w:rPr>
          <w:rtl/>
        </w:rPr>
        <w:t>: شروط المحكم</w:t>
      </w:r>
      <w:bookmarkEnd w:id="65"/>
    </w:p>
    <w:p w:rsidR="00C57BE2" w:rsidRPr="008610BE" w:rsidRDefault="00C57BE2" w:rsidP="008A5D2D">
      <w:pPr>
        <w:spacing w:after="0" w:line="360" w:lineRule="auto"/>
        <w:ind w:firstLine="566"/>
        <w:jc w:val="both"/>
        <w:rPr>
          <w:rtl/>
        </w:rPr>
      </w:pPr>
      <w:r w:rsidRPr="008610BE">
        <w:rPr>
          <w:rtl/>
        </w:rPr>
        <w:t>لابد من توافر عدة شروط في المحكم المبعوث في الشقاق بين الزوجين وهي:</w:t>
      </w:r>
    </w:p>
    <w:p w:rsidR="00C57BE2" w:rsidRPr="008610BE" w:rsidRDefault="00C57BE2" w:rsidP="008A5D2D">
      <w:pPr>
        <w:spacing w:after="0" w:line="360" w:lineRule="auto"/>
        <w:ind w:firstLine="566"/>
        <w:jc w:val="both"/>
        <w:rPr>
          <w:rtl/>
        </w:rPr>
      </w:pPr>
      <w:r w:rsidRPr="008610BE">
        <w:rPr>
          <w:rtl/>
        </w:rPr>
        <w:t>-</w:t>
      </w:r>
      <w:r w:rsidRPr="008610BE">
        <w:rPr>
          <w:b/>
          <w:bCs/>
          <w:rtl/>
        </w:rPr>
        <w:t>الإسلام</w:t>
      </w:r>
      <w:r w:rsidRPr="008610BE">
        <w:rPr>
          <w:rtl/>
        </w:rPr>
        <w:t>: يجب أن يكون المحكم شخصاً مسلماً، حيث جاء في قوله تعالى: "وَلَن يَجْعَلَ اللَّهُ لِلْكَافِرِينَ عَلَى الْمُؤْمِنِينَ سَبِيلًا"</w:t>
      </w:r>
      <w:r w:rsidRPr="008610BE">
        <w:rPr>
          <w:rStyle w:val="Appelnotedebasdep"/>
          <w:rtl/>
        </w:rPr>
        <w:footnoteReference w:id="70"/>
      </w:r>
      <w:r w:rsidRPr="008610BE">
        <w:rPr>
          <w:rtl/>
        </w:rPr>
        <w:t>.</w:t>
      </w:r>
    </w:p>
    <w:p w:rsidR="00C57BE2" w:rsidRPr="008610BE" w:rsidRDefault="00C57BE2" w:rsidP="008A5D2D">
      <w:pPr>
        <w:spacing w:after="0" w:line="360" w:lineRule="auto"/>
        <w:ind w:firstLine="566"/>
        <w:jc w:val="both"/>
        <w:rPr>
          <w:rtl/>
        </w:rPr>
      </w:pPr>
      <w:r w:rsidRPr="008610BE">
        <w:rPr>
          <w:rtl/>
        </w:rPr>
        <w:lastRenderedPageBreak/>
        <w:t>-</w:t>
      </w:r>
      <w:r w:rsidRPr="008610BE">
        <w:rPr>
          <w:b/>
          <w:bCs/>
          <w:rtl/>
        </w:rPr>
        <w:t>التكليف</w:t>
      </w:r>
      <w:r w:rsidRPr="008610BE">
        <w:rPr>
          <w:rtl/>
        </w:rPr>
        <w:t>: لابد أن يكون المحكم عاقلاً بالغاً لأنهما مناط التكليف الشرعي، قال رسول الله (صلى الله عليه وسلم): "رفع القلم عن ثلاث، الصبي حتى يحتلم والنائم حتى يستيقظ والمجنون حتى يعقل".</w:t>
      </w:r>
    </w:p>
    <w:p w:rsidR="00C57BE2" w:rsidRPr="008610BE" w:rsidRDefault="00C57BE2" w:rsidP="008A5D2D">
      <w:pPr>
        <w:spacing w:after="0" w:line="360" w:lineRule="auto"/>
        <w:ind w:firstLine="566"/>
        <w:jc w:val="both"/>
        <w:rPr>
          <w:rtl/>
        </w:rPr>
      </w:pPr>
      <w:r w:rsidRPr="008610BE">
        <w:rPr>
          <w:rtl/>
        </w:rPr>
        <w:t>فلا يجوز تحكيم الصبي أو المجنون</w:t>
      </w:r>
      <w:r w:rsidRPr="008610BE">
        <w:rPr>
          <w:rStyle w:val="Appelnotedebasdep"/>
          <w:rtl/>
        </w:rPr>
        <w:footnoteReference w:id="71"/>
      </w:r>
      <w:r w:rsidRPr="008610BE">
        <w:rPr>
          <w:rtl/>
        </w:rPr>
        <w:t>.</w:t>
      </w:r>
    </w:p>
    <w:p w:rsidR="00C57BE2" w:rsidRPr="008610BE" w:rsidRDefault="00C57BE2" w:rsidP="008A5D2D">
      <w:pPr>
        <w:spacing w:after="0" w:line="360" w:lineRule="auto"/>
        <w:ind w:firstLine="566"/>
        <w:jc w:val="both"/>
        <w:rPr>
          <w:rtl/>
        </w:rPr>
      </w:pPr>
      <w:r w:rsidRPr="008610BE">
        <w:rPr>
          <w:rtl/>
        </w:rPr>
        <w:t>أما المشرع الجزائري فقد حدد سن البلوغ المدني باكتمال 19 سنة، وهذا ما نص عليه في المادة 40 من القانون المدني الجزائري.</w:t>
      </w:r>
    </w:p>
    <w:p w:rsidR="00C57BE2" w:rsidRPr="008610BE" w:rsidRDefault="00C57BE2" w:rsidP="008A5D2D">
      <w:pPr>
        <w:spacing w:after="0" w:line="360" w:lineRule="auto"/>
        <w:ind w:firstLine="566"/>
        <w:jc w:val="both"/>
        <w:rPr>
          <w:rtl/>
        </w:rPr>
      </w:pPr>
      <w:r w:rsidRPr="008610BE">
        <w:rPr>
          <w:rtl/>
        </w:rPr>
        <w:t>-</w:t>
      </w:r>
      <w:r w:rsidRPr="008610BE">
        <w:rPr>
          <w:b/>
          <w:bCs/>
          <w:rtl/>
        </w:rPr>
        <w:t>العلم</w:t>
      </w:r>
      <w:r w:rsidRPr="008610BE">
        <w:rPr>
          <w:rtl/>
        </w:rPr>
        <w:t>: يجب أن يكون المحكم عالماً بأحكام الشقاق والنشوز والجمع والتفريق بين الزوجين، أي أن يكون على علم بالمسألة</w:t>
      </w:r>
      <w:r w:rsidRPr="008610BE">
        <w:rPr>
          <w:rStyle w:val="Appelnotedebasdep"/>
          <w:rtl/>
        </w:rPr>
        <w:footnoteReference w:id="72"/>
      </w:r>
      <w:r w:rsidRPr="008610BE">
        <w:rPr>
          <w:rtl/>
        </w:rPr>
        <w:t>، فلابد أن يكون المحكم عالماً بأسباب الشقاق وإلا لم يجوز تحكيمه</w:t>
      </w:r>
      <w:r w:rsidRPr="008610BE">
        <w:rPr>
          <w:rStyle w:val="Appelnotedebasdep"/>
          <w:rtl/>
        </w:rPr>
        <w:footnoteReference w:id="73"/>
      </w:r>
      <w:r w:rsidRPr="008610BE">
        <w:rPr>
          <w:rtl/>
        </w:rPr>
        <w:t>.</w:t>
      </w:r>
    </w:p>
    <w:p w:rsidR="00C57BE2" w:rsidRPr="008610BE" w:rsidRDefault="00C57BE2" w:rsidP="008A5D2D">
      <w:pPr>
        <w:spacing w:after="0" w:line="360" w:lineRule="auto"/>
        <w:ind w:firstLine="566"/>
        <w:jc w:val="both"/>
        <w:rPr>
          <w:rtl/>
        </w:rPr>
      </w:pPr>
      <w:r w:rsidRPr="008610BE">
        <w:rPr>
          <w:rtl/>
        </w:rPr>
        <w:t>-</w:t>
      </w:r>
      <w:r w:rsidRPr="008610BE">
        <w:rPr>
          <w:b/>
          <w:bCs/>
          <w:rtl/>
        </w:rPr>
        <w:t>العدالة</w:t>
      </w:r>
      <w:r w:rsidRPr="008610BE">
        <w:rPr>
          <w:rtl/>
        </w:rPr>
        <w:t>: بأن يكون الحكمين عدلين مستقيمين من ذوي السمعة الحسنة، أي عدلا الأمانة ذو سمعة حسنة</w:t>
      </w:r>
      <w:r w:rsidRPr="008610BE">
        <w:rPr>
          <w:rStyle w:val="Appelnotedebasdep"/>
          <w:rtl/>
        </w:rPr>
        <w:footnoteReference w:id="74"/>
      </w:r>
      <w:r w:rsidRPr="008610BE">
        <w:rPr>
          <w:rtl/>
        </w:rPr>
        <w:t>.</w:t>
      </w:r>
    </w:p>
    <w:p w:rsidR="00C57BE2" w:rsidRPr="008610BE" w:rsidRDefault="00C57BE2" w:rsidP="008A5D2D">
      <w:pPr>
        <w:spacing w:after="0" w:line="360" w:lineRule="auto"/>
        <w:ind w:firstLine="566"/>
        <w:jc w:val="both"/>
        <w:rPr>
          <w:rtl/>
        </w:rPr>
      </w:pPr>
      <w:r w:rsidRPr="008610BE">
        <w:rPr>
          <w:rtl/>
        </w:rPr>
        <w:t>-</w:t>
      </w:r>
      <w:r w:rsidRPr="008610BE">
        <w:rPr>
          <w:b/>
          <w:bCs/>
          <w:rtl/>
        </w:rPr>
        <w:t>الذكورة</w:t>
      </w:r>
      <w:r w:rsidRPr="008610BE">
        <w:rPr>
          <w:rtl/>
        </w:rPr>
        <w:t xml:space="preserve">: لابد أن يكون المحكم ذكراً، فلا يجوز تحكيم المرأة، إذ قال تعالى: "الرِّجَالُ قَوَّامُونَ عَلَى النِّسَاءِ بِمَا فَضَّلَ اللَّهُ بَعْضَهُمْ </w:t>
      </w:r>
      <w:proofErr w:type="spellStart"/>
      <w:r w:rsidRPr="008610BE">
        <w:rPr>
          <w:rtl/>
        </w:rPr>
        <w:t>عَلَىٰ</w:t>
      </w:r>
      <w:proofErr w:type="spellEnd"/>
      <w:r w:rsidRPr="008610BE">
        <w:rPr>
          <w:rtl/>
        </w:rPr>
        <w:t xml:space="preserve"> بَعْضٍ وَبِمَا أَنفَقُوا مِنْ أَمْوَالِهِمْ"</w:t>
      </w:r>
      <w:r w:rsidRPr="008610BE">
        <w:rPr>
          <w:rStyle w:val="Appelnotedebasdep"/>
          <w:rtl/>
        </w:rPr>
        <w:footnoteReference w:id="75"/>
      </w:r>
      <w:r w:rsidRPr="008610BE">
        <w:rPr>
          <w:rtl/>
        </w:rPr>
        <w:t>.</w:t>
      </w:r>
    </w:p>
    <w:p w:rsidR="00C57BE2" w:rsidRPr="008610BE" w:rsidRDefault="00C57BE2" w:rsidP="008A5D2D">
      <w:pPr>
        <w:spacing w:after="0" w:line="360" w:lineRule="auto"/>
        <w:ind w:firstLine="566"/>
        <w:jc w:val="both"/>
        <w:rPr>
          <w:rtl/>
        </w:rPr>
      </w:pPr>
      <w:r w:rsidRPr="008610BE">
        <w:rPr>
          <w:rtl/>
        </w:rPr>
        <w:t>فقال الإمام مالك: "ليست المرأة من الحكام"</w:t>
      </w:r>
      <w:r w:rsidRPr="008610BE">
        <w:rPr>
          <w:rStyle w:val="Appelnotedebasdep"/>
          <w:rtl/>
        </w:rPr>
        <w:footnoteReference w:id="76"/>
      </w:r>
      <w:r w:rsidRPr="008610BE">
        <w:rPr>
          <w:rtl/>
        </w:rPr>
        <w:t xml:space="preserve">. </w:t>
      </w:r>
    </w:p>
    <w:p w:rsidR="00C57BE2" w:rsidRPr="008610BE" w:rsidRDefault="00C57BE2" w:rsidP="008A5D2D">
      <w:pPr>
        <w:spacing w:after="0" w:line="360" w:lineRule="auto"/>
        <w:ind w:firstLine="566"/>
        <w:jc w:val="both"/>
        <w:rPr>
          <w:rtl/>
        </w:rPr>
      </w:pPr>
      <w:r w:rsidRPr="008610BE">
        <w:rPr>
          <w:rtl/>
        </w:rPr>
        <w:lastRenderedPageBreak/>
        <w:t>أما الحنفية فيجوز تحكيم المرأة عندهم، سوى الحدود والقصاص لأن التحكيم يبنى على الشهادة والمرأة لا يمكن أن تكون شاهدة، فتصلح حكماً في غير الحدود والقصاص</w:t>
      </w:r>
      <w:r w:rsidRPr="008610BE">
        <w:rPr>
          <w:rStyle w:val="Appelnotedebasdep"/>
          <w:rtl/>
        </w:rPr>
        <w:footnoteReference w:id="77"/>
      </w:r>
      <w:r w:rsidRPr="008610BE">
        <w:rPr>
          <w:rtl/>
        </w:rPr>
        <w:t>.</w:t>
      </w:r>
    </w:p>
    <w:p w:rsidR="00C57BE2" w:rsidRPr="008610BE" w:rsidRDefault="00C57BE2" w:rsidP="008A5D2D">
      <w:pPr>
        <w:spacing w:after="0" w:line="360" w:lineRule="auto"/>
        <w:ind w:firstLine="566"/>
        <w:jc w:val="both"/>
        <w:rPr>
          <w:rtl/>
        </w:rPr>
      </w:pPr>
      <w:r w:rsidRPr="008610BE">
        <w:rPr>
          <w:rtl/>
        </w:rPr>
        <w:t>-</w:t>
      </w:r>
      <w:r w:rsidRPr="008610BE">
        <w:rPr>
          <w:b/>
          <w:bCs/>
          <w:rtl/>
        </w:rPr>
        <w:t>أن يكون أحد الحكمين من أهل الزوجين</w:t>
      </w:r>
      <w:r w:rsidRPr="008610BE">
        <w:rPr>
          <w:rtl/>
        </w:rPr>
        <w:t>: أي حكم من أهل الزوج وحكم من أهل الزوجة، وهذا ما جاء في قوله تعالى: "فَابْعَثُوا حَكَمًا مِنْ أَهْلِهِ وَحَكَمًا مِنْ أَهْلِهَا إِنْ يُرِيدَا إِصْلاحًا يُوَفِّقِ اللَّهُ بَيْنَهُمَا"</w:t>
      </w:r>
      <w:r w:rsidRPr="008610BE">
        <w:rPr>
          <w:rStyle w:val="Appelnotedebasdep"/>
          <w:rtl/>
        </w:rPr>
        <w:footnoteReference w:id="78"/>
      </w:r>
      <w:r w:rsidRPr="008610BE">
        <w:rPr>
          <w:rtl/>
        </w:rPr>
        <w:t>.</w:t>
      </w:r>
    </w:p>
    <w:p w:rsidR="00C57BE2" w:rsidRPr="008610BE" w:rsidRDefault="00C57BE2" w:rsidP="008A5D2D">
      <w:pPr>
        <w:spacing w:after="0" w:line="360" w:lineRule="auto"/>
        <w:ind w:firstLine="566"/>
        <w:jc w:val="both"/>
        <w:rPr>
          <w:rtl/>
        </w:rPr>
      </w:pPr>
      <w:r w:rsidRPr="008610BE">
        <w:rPr>
          <w:rtl/>
        </w:rPr>
        <w:t>وهذا ما جسده قانون الأسرة في المادة 56 منه، فبعث الحكمين للتوفيق بين الزوجين واجب، وهذا ما ذهب إليه المذهب الشافعي وهذا من باب تفادي تكدر الأسرة وتفككها</w:t>
      </w:r>
      <w:r w:rsidRPr="008610BE">
        <w:rPr>
          <w:rStyle w:val="Appelnotedebasdep"/>
          <w:rtl/>
        </w:rPr>
        <w:footnoteReference w:id="79"/>
      </w:r>
      <w:r w:rsidRPr="008610BE">
        <w:rPr>
          <w:rtl/>
        </w:rPr>
        <w:t>.</w:t>
      </w:r>
    </w:p>
    <w:p w:rsidR="008A5D2D" w:rsidRPr="003F26AB" w:rsidRDefault="00C57BE2" w:rsidP="003F26AB">
      <w:pPr>
        <w:spacing w:after="0" w:line="360" w:lineRule="auto"/>
        <w:ind w:firstLine="566"/>
        <w:jc w:val="both"/>
        <w:rPr>
          <w:rtl/>
        </w:rPr>
      </w:pPr>
      <w:r w:rsidRPr="008610BE">
        <w:rPr>
          <w:rtl/>
        </w:rPr>
        <w:t xml:space="preserve">كما أوجب المالكية ذاك، بحيث قال </w:t>
      </w:r>
      <w:proofErr w:type="spellStart"/>
      <w:r w:rsidRPr="008610BE">
        <w:rPr>
          <w:rtl/>
        </w:rPr>
        <w:t>البحيرمي</w:t>
      </w:r>
      <w:proofErr w:type="spellEnd"/>
      <w:r w:rsidRPr="008610BE">
        <w:rPr>
          <w:rtl/>
        </w:rPr>
        <w:t xml:space="preserve"> أن بعث الحكمين واجب لإصلاح ذات البين بين الزوجين وإرجاع الأسرة إلى جو الاستقرار</w:t>
      </w:r>
      <w:r w:rsidRPr="008610BE">
        <w:rPr>
          <w:rStyle w:val="Appelnotedebasdep"/>
          <w:rtl/>
        </w:rPr>
        <w:footnoteReference w:id="80"/>
      </w:r>
      <w:r w:rsidRPr="008610BE">
        <w:rPr>
          <w:rtl/>
        </w:rPr>
        <w:t>.</w:t>
      </w:r>
    </w:p>
    <w:p w:rsidR="00C57BE2" w:rsidRPr="008610BE" w:rsidRDefault="00C57BE2" w:rsidP="008A5D2D">
      <w:pPr>
        <w:spacing w:after="0" w:line="360" w:lineRule="auto"/>
        <w:ind w:firstLine="567"/>
        <w:jc w:val="both"/>
        <w:outlineLvl w:val="2"/>
        <w:rPr>
          <w:rtl/>
        </w:rPr>
      </w:pPr>
      <w:bookmarkStart w:id="66" w:name="_Toc461013635"/>
      <w:r w:rsidRPr="008610BE">
        <w:rPr>
          <w:b/>
          <w:bCs/>
          <w:rtl/>
        </w:rPr>
        <w:t>الفرع الثالث</w:t>
      </w:r>
      <w:r w:rsidRPr="008610BE">
        <w:rPr>
          <w:rtl/>
        </w:rPr>
        <w:t>: اختيار الحكمين</w:t>
      </w:r>
      <w:bookmarkEnd w:id="66"/>
    </w:p>
    <w:p w:rsidR="00C57BE2" w:rsidRPr="008610BE" w:rsidRDefault="00C57BE2" w:rsidP="008A5D2D">
      <w:pPr>
        <w:spacing w:after="0" w:line="360" w:lineRule="auto"/>
        <w:ind w:firstLine="566"/>
        <w:jc w:val="both"/>
        <w:rPr>
          <w:rtl/>
        </w:rPr>
      </w:pPr>
      <w:r w:rsidRPr="008610BE">
        <w:rPr>
          <w:rtl/>
        </w:rPr>
        <w:t>اختيار الحكمين يكون من طرف الزوجين بأنفسهم، لأن القاضي لا يعلم من هم أهل الزوجين، كما يمكن للقاضي اختيار الحكمين في بعض الأحوال، لكن قوله تعالى: "وإن خفتم شقاق بينهما فابعثوا ..."، فمن المخاطب في هاته الآية؟</w:t>
      </w:r>
    </w:p>
    <w:p w:rsidR="00C57BE2" w:rsidRPr="008610BE" w:rsidRDefault="00C57BE2" w:rsidP="008A5D2D">
      <w:pPr>
        <w:spacing w:after="0" w:line="360" w:lineRule="auto"/>
        <w:ind w:firstLine="566"/>
        <w:jc w:val="both"/>
        <w:rPr>
          <w:rtl/>
        </w:rPr>
      </w:pPr>
      <w:r w:rsidRPr="008610BE">
        <w:rPr>
          <w:rtl/>
        </w:rPr>
        <w:lastRenderedPageBreak/>
        <w:t>ذهب الإمام الطبري إلى أن المخاطب هم الناس، أما الشافعية فيرون أن المخاطب في الآية الكريمة هم الحكام ومن ينوب منابهم كالقضاة</w:t>
      </w:r>
      <w:r w:rsidRPr="008610BE">
        <w:rPr>
          <w:rStyle w:val="Appelnotedebasdep"/>
          <w:rtl/>
        </w:rPr>
        <w:footnoteReference w:id="81"/>
      </w:r>
      <w:r w:rsidRPr="008610BE">
        <w:rPr>
          <w:rtl/>
        </w:rPr>
        <w:t>. وهو الرأي الذي يراه المالكية والحنابلة</w:t>
      </w:r>
      <w:r w:rsidRPr="008610BE">
        <w:rPr>
          <w:rStyle w:val="Appelnotedebasdep"/>
          <w:rtl/>
        </w:rPr>
        <w:footnoteReference w:id="82"/>
      </w:r>
      <w:r w:rsidRPr="008610BE">
        <w:rPr>
          <w:rtl/>
        </w:rPr>
        <w:t>.</w:t>
      </w:r>
    </w:p>
    <w:p w:rsidR="00C57BE2" w:rsidRPr="008610BE" w:rsidRDefault="00C57BE2" w:rsidP="008A5D2D">
      <w:pPr>
        <w:spacing w:after="0" w:line="360" w:lineRule="auto"/>
        <w:ind w:firstLine="566"/>
        <w:jc w:val="both"/>
        <w:rPr>
          <w:rtl/>
        </w:rPr>
      </w:pPr>
      <w:r w:rsidRPr="008610BE">
        <w:rPr>
          <w:rtl/>
        </w:rPr>
        <w:t>فظاهر الآية يدل على أن المخاطب هم الحكام والأمراء ومن يقوم مقامهم وهو الرأي الذي أخذ به المشرع الجزائري في نص المادة 56 من قانون الأسرة، وذلك بجعل أمر تعيين الحكمين للقاضي مباشرة.</w:t>
      </w:r>
    </w:p>
    <w:p w:rsidR="00C57BE2" w:rsidRPr="008610BE" w:rsidRDefault="00C57BE2" w:rsidP="008A5D2D">
      <w:pPr>
        <w:spacing w:after="0" w:line="360" w:lineRule="auto"/>
        <w:ind w:firstLine="567"/>
        <w:jc w:val="both"/>
        <w:outlineLvl w:val="1"/>
        <w:rPr>
          <w:rtl/>
        </w:rPr>
      </w:pPr>
      <w:bookmarkStart w:id="67" w:name="_Toc461013636"/>
      <w:r w:rsidRPr="008610BE">
        <w:rPr>
          <w:b/>
          <w:bCs/>
          <w:rtl/>
        </w:rPr>
        <w:t>المطلب الثاني</w:t>
      </w:r>
      <w:r w:rsidRPr="008610BE">
        <w:rPr>
          <w:rtl/>
        </w:rPr>
        <w:t>: عمل الحكمين</w:t>
      </w:r>
      <w:bookmarkEnd w:id="67"/>
    </w:p>
    <w:p w:rsidR="00C57BE2" w:rsidRPr="008610BE" w:rsidRDefault="00C57BE2" w:rsidP="008A5D2D">
      <w:pPr>
        <w:tabs>
          <w:tab w:val="center" w:pos="4818"/>
        </w:tabs>
        <w:spacing w:after="0" w:line="360" w:lineRule="auto"/>
        <w:ind w:firstLine="567"/>
        <w:jc w:val="both"/>
        <w:outlineLvl w:val="2"/>
        <w:rPr>
          <w:rtl/>
        </w:rPr>
      </w:pPr>
      <w:bookmarkStart w:id="68" w:name="_Toc461013637"/>
      <w:r w:rsidRPr="008610BE">
        <w:rPr>
          <w:b/>
          <w:bCs/>
          <w:rtl/>
        </w:rPr>
        <w:t>الفرع الأول</w:t>
      </w:r>
      <w:r w:rsidRPr="008610BE">
        <w:rPr>
          <w:rtl/>
        </w:rPr>
        <w:t>: الإصلاح بين الزوجين</w:t>
      </w:r>
      <w:bookmarkEnd w:id="68"/>
      <w:r w:rsidRPr="008610BE">
        <w:rPr>
          <w:rtl/>
        </w:rPr>
        <w:tab/>
      </w:r>
    </w:p>
    <w:p w:rsidR="00C57BE2" w:rsidRPr="008610BE" w:rsidRDefault="00C57BE2" w:rsidP="008A5D2D">
      <w:pPr>
        <w:spacing w:after="0" w:line="360" w:lineRule="auto"/>
        <w:ind w:firstLine="566"/>
        <w:jc w:val="both"/>
        <w:rPr>
          <w:rtl/>
        </w:rPr>
      </w:pPr>
      <w:r w:rsidRPr="008610BE">
        <w:rPr>
          <w:rtl/>
        </w:rPr>
        <w:t>تعتبر المهمة الأساسية للحكمين، ذلك من خلال معرفة أسباب الشقاق والخلاف بين الزوجين ويدرسانها، فلابد أن يسعيا للإصلاح بين الزوجين من خلال دراسة أسباب الشقاق وملابسته وتحديد مسؤولية كل واحد منهما في النزاع، عن طريق سماع الزوجين وأي شخص يريان فيه مصلحة للتحقق وهذا لتبيان الأمر عن حقيقته</w:t>
      </w:r>
      <w:r w:rsidRPr="008610BE">
        <w:rPr>
          <w:rStyle w:val="Appelnotedebasdep"/>
          <w:rtl/>
        </w:rPr>
        <w:footnoteReference w:id="83"/>
      </w:r>
      <w:r w:rsidRPr="008610BE">
        <w:rPr>
          <w:rtl/>
        </w:rPr>
        <w:t>.</w:t>
      </w:r>
    </w:p>
    <w:p w:rsidR="00C57BE2" w:rsidRPr="008610BE" w:rsidRDefault="00C57BE2" w:rsidP="008A5D2D">
      <w:pPr>
        <w:spacing w:after="0" w:line="360" w:lineRule="auto"/>
        <w:ind w:firstLine="566"/>
        <w:jc w:val="both"/>
        <w:rPr>
          <w:rtl/>
        </w:rPr>
      </w:pPr>
      <w:r w:rsidRPr="008610BE">
        <w:rPr>
          <w:rtl/>
        </w:rPr>
        <w:t>فعلى الحكمين بذل العناء للتوفيق بين الزوجين، لأن غرض الإسلام جمع القلوب وتوحيد الألفة بين الناس</w:t>
      </w:r>
      <w:r w:rsidRPr="008610BE">
        <w:rPr>
          <w:rStyle w:val="Appelnotedebasdep"/>
          <w:rtl/>
        </w:rPr>
        <w:footnoteReference w:id="84"/>
      </w:r>
      <w:r w:rsidRPr="008610BE">
        <w:rPr>
          <w:rtl/>
        </w:rPr>
        <w:t>.</w:t>
      </w:r>
    </w:p>
    <w:p w:rsidR="00C57BE2" w:rsidRPr="008610BE" w:rsidRDefault="00C57BE2" w:rsidP="008A5D2D">
      <w:pPr>
        <w:spacing w:after="0" w:line="360" w:lineRule="auto"/>
        <w:ind w:firstLine="566"/>
        <w:jc w:val="both"/>
        <w:rPr>
          <w:rtl/>
        </w:rPr>
      </w:pPr>
      <w:r w:rsidRPr="008610BE">
        <w:rPr>
          <w:rtl/>
        </w:rPr>
        <w:lastRenderedPageBreak/>
        <w:t>وجاء في قوله تعالى: "...فَلاَ جُنَاْحَ عَلَيْهِمَا أَن يُصْلِحَا بَيْنَهُمَا صُلْحاً وَالصُّلْحُ خَيْرٌ..."</w:t>
      </w:r>
      <w:r w:rsidRPr="008610BE">
        <w:rPr>
          <w:rStyle w:val="Appelnotedebasdep"/>
          <w:rtl/>
        </w:rPr>
        <w:footnoteReference w:id="85"/>
      </w:r>
      <w:r w:rsidRPr="008610BE">
        <w:rPr>
          <w:rtl/>
        </w:rPr>
        <w:t>.</w:t>
      </w:r>
    </w:p>
    <w:p w:rsidR="00C57BE2" w:rsidRPr="008610BE" w:rsidRDefault="00C57BE2" w:rsidP="008A5D2D">
      <w:pPr>
        <w:spacing w:after="0" w:line="360" w:lineRule="auto"/>
        <w:ind w:firstLine="566"/>
        <w:jc w:val="both"/>
        <w:rPr>
          <w:rtl/>
        </w:rPr>
      </w:pPr>
      <w:r w:rsidRPr="008610BE">
        <w:rPr>
          <w:rtl/>
        </w:rPr>
        <w:t>فعلى الحكمان أن يسعيا إلى إجراء الصلح لأن من فوض إليه أمر يمضيه من جهة تحري الخير والصلاح</w:t>
      </w:r>
      <w:r w:rsidRPr="008610BE">
        <w:rPr>
          <w:rStyle w:val="Appelnotedebasdep"/>
          <w:rtl/>
        </w:rPr>
        <w:footnoteReference w:id="86"/>
      </w:r>
      <w:r w:rsidRPr="008610BE">
        <w:rPr>
          <w:rtl/>
        </w:rPr>
        <w:t>.</w:t>
      </w:r>
    </w:p>
    <w:p w:rsidR="00C57BE2" w:rsidRPr="008610BE" w:rsidRDefault="00C57BE2" w:rsidP="008A5D2D">
      <w:pPr>
        <w:spacing w:after="0" w:line="360" w:lineRule="auto"/>
        <w:ind w:firstLine="566"/>
        <w:jc w:val="both"/>
        <w:rPr>
          <w:rtl/>
        </w:rPr>
      </w:pPr>
      <w:r w:rsidRPr="008610BE">
        <w:rPr>
          <w:rtl/>
        </w:rPr>
        <w:t>وهذا ما أخذ به المشرع الجزائري في قانون الأسرة في المادة 56 منه، بحيث قال: "التوفيق بينهما بما يفيد الإصلاح ولم الشمل لا غير"، فتعد هاته المهمة الأولى للحكمين.</w:t>
      </w:r>
    </w:p>
    <w:p w:rsidR="00C57BE2" w:rsidRPr="008610BE" w:rsidRDefault="00C57BE2" w:rsidP="008A5D2D">
      <w:pPr>
        <w:spacing w:after="0" w:line="360" w:lineRule="auto"/>
        <w:ind w:firstLine="566"/>
        <w:jc w:val="both"/>
        <w:rPr>
          <w:rtl/>
        </w:rPr>
      </w:pPr>
      <w:r w:rsidRPr="008610BE">
        <w:rPr>
          <w:rtl/>
        </w:rPr>
        <w:t>فعلى الحكمين إيجاد الحلول المناسبة للشقاق وهذا بإنهائه بالصلح، ففي مجلس التحكيم يجب على الحكمين أن يعرضا الحلول للنزاع ويجوز للمجلس أن يطلب من أحد الأطراف النزول عن حقه كله نظير ألا يتنازل الطرف الآخر عن شيء، وهذا بالرغم من أن القاعدة في الصلح التقابل والتبادل في التنازل عن الحقوق</w:t>
      </w:r>
      <w:r w:rsidRPr="008610BE">
        <w:rPr>
          <w:rStyle w:val="Appelnotedebasdep"/>
          <w:rtl/>
        </w:rPr>
        <w:footnoteReference w:id="87"/>
      </w:r>
      <w:r w:rsidRPr="008610BE">
        <w:rPr>
          <w:rtl/>
        </w:rPr>
        <w:t>.</w:t>
      </w:r>
    </w:p>
    <w:p w:rsidR="00C57BE2" w:rsidRPr="008610BE" w:rsidRDefault="00C57BE2" w:rsidP="008A5D2D">
      <w:pPr>
        <w:spacing w:after="0" w:line="360" w:lineRule="auto"/>
        <w:ind w:firstLine="566"/>
        <w:jc w:val="both"/>
        <w:rPr>
          <w:rtl/>
        </w:rPr>
      </w:pPr>
      <w:r w:rsidRPr="008610BE">
        <w:rPr>
          <w:rtl/>
        </w:rPr>
        <w:t>كما أنه يجب على الحكمين الإشهاد على الظالم والمظلوم بين الزوجين، وهذا في حالة عجز الحكمين على إعادة الحال إلى ما كان عليه، وهذا ما قال به الجصاص: "</w:t>
      </w:r>
      <w:r w:rsidRPr="008610BE">
        <w:rPr>
          <w:color w:val="000000"/>
          <w:rtl/>
        </w:rPr>
        <w:t>فالحكمان إنما يبعثان للصلح بينهما</w:t>
      </w:r>
      <w:r w:rsidRPr="008610BE">
        <w:rPr>
          <w:rtl/>
        </w:rPr>
        <w:t>، وليشهدا على الظالم منهما"</w:t>
      </w:r>
      <w:r w:rsidRPr="008610BE">
        <w:rPr>
          <w:rStyle w:val="Appelnotedebasdep"/>
          <w:rtl/>
        </w:rPr>
        <w:footnoteReference w:id="88"/>
      </w:r>
      <w:r w:rsidRPr="008610BE">
        <w:rPr>
          <w:rtl/>
        </w:rPr>
        <w:t>.</w:t>
      </w:r>
    </w:p>
    <w:p w:rsidR="00C57BE2" w:rsidRPr="008610BE" w:rsidRDefault="00C57BE2" w:rsidP="008A5D2D">
      <w:pPr>
        <w:spacing w:after="0" w:line="360" w:lineRule="auto"/>
        <w:ind w:firstLine="566"/>
        <w:jc w:val="both"/>
        <w:rPr>
          <w:rtl/>
        </w:rPr>
      </w:pPr>
      <w:r w:rsidRPr="008610BE">
        <w:rPr>
          <w:rtl/>
        </w:rPr>
        <w:t xml:space="preserve">فيكون الإشهاد في تحديد مصدر الخصام والشقاق والمتسبب فيه وبيان المسيء من الزوجين للآخر مع تقدير نية الإساءة، وهذا حتى يستطيع القاضي أن يفصل في موضوع </w:t>
      </w:r>
      <w:r w:rsidRPr="008610BE">
        <w:rPr>
          <w:rtl/>
        </w:rPr>
        <w:lastRenderedPageBreak/>
        <w:t>الدعوى وينصف بينهما، فالشهادة دليل إثبات للقاضي، فليس من المانع على الحكمين اقتراح الفرقة في التقرير الذي ينجزانه ويقدمانه للقاضي، إذا كان هو الحل الوحيد للشقاق والخصام</w:t>
      </w:r>
      <w:r w:rsidRPr="008610BE">
        <w:rPr>
          <w:rStyle w:val="Appelnotedebasdep"/>
          <w:rtl/>
        </w:rPr>
        <w:footnoteReference w:id="89"/>
      </w:r>
      <w:r w:rsidRPr="008610BE">
        <w:rPr>
          <w:rtl/>
        </w:rPr>
        <w:t>.</w:t>
      </w:r>
    </w:p>
    <w:p w:rsidR="00C57BE2" w:rsidRPr="008610BE" w:rsidRDefault="00C57BE2" w:rsidP="008A5D2D">
      <w:pPr>
        <w:spacing w:after="0" w:line="360" w:lineRule="auto"/>
        <w:ind w:firstLine="566"/>
        <w:jc w:val="both"/>
        <w:rPr>
          <w:rtl/>
        </w:rPr>
      </w:pPr>
      <w:r w:rsidRPr="008610BE">
        <w:rPr>
          <w:rtl/>
        </w:rPr>
        <w:t xml:space="preserve">كما يرى الدكتور وهبة </w:t>
      </w:r>
      <w:proofErr w:type="spellStart"/>
      <w:r w:rsidRPr="008610BE">
        <w:rPr>
          <w:rtl/>
        </w:rPr>
        <w:t>الزحيلي</w:t>
      </w:r>
      <w:proofErr w:type="spellEnd"/>
      <w:r w:rsidRPr="008610BE">
        <w:rPr>
          <w:rtl/>
        </w:rPr>
        <w:t xml:space="preserve"> أن الإصلاح بين الزوجين المهم أو المهمة الرئيسية للحكمين، ثم رفع تقرير للقاضي، وهذا بناء على التفويض الممنوح من قبل القاضي</w:t>
      </w:r>
      <w:r w:rsidRPr="008610BE">
        <w:rPr>
          <w:rStyle w:val="Appelnotedebasdep"/>
          <w:rtl/>
        </w:rPr>
        <w:footnoteReference w:id="90"/>
      </w:r>
      <w:r w:rsidRPr="008610BE">
        <w:rPr>
          <w:rtl/>
        </w:rPr>
        <w:t>.</w:t>
      </w:r>
    </w:p>
    <w:p w:rsidR="00C57BE2" w:rsidRPr="008610BE" w:rsidRDefault="00C57BE2" w:rsidP="008A5D2D">
      <w:pPr>
        <w:spacing w:after="0" w:line="360" w:lineRule="auto"/>
        <w:ind w:firstLine="566"/>
        <w:jc w:val="both"/>
        <w:rPr>
          <w:rtl/>
        </w:rPr>
      </w:pPr>
      <w:r w:rsidRPr="008610BE">
        <w:rPr>
          <w:rtl/>
        </w:rPr>
        <w:t>فالحكمان مجبران على رفع الأمر إلى الحاكم ويخبرانه بما فعلا.</w:t>
      </w:r>
    </w:p>
    <w:p w:rsidR="00C57BE2" w:rsidRPr="008610BE" w:rsidRDefault="00C57BE2" w:rsidP="008A5D2D">
      <w:pPr>
        <w:spacing w:after="0" w:line="360" w:lineRule="auto"/>
        <w:ind w:firstLine="567"/>
        <w:jc w:val="both"/>
        <w:outlineLvl w:val="2"/>
        <w:rPr>
          <w:rtl/>
        </w:rPr>
      </w:pPr>
      <w:bookmarkStart w:id="69" w:name="_Toc461013638"/>
      <w:r w:rsidRPr="008610BE">
        <w:rPr>
          <w:b/>
          <w:bCs/>
          <w:rtl/>
        </w:rPr>
        <w:t>الفرع الثاني</w:t>
      </w:r>
      <w:r w:rsidRPr="008610BE">
        <w:rPr>
          <w:rtl/>
        </w:rPr>
        <w:t>: انتهاء التحكيم في الشقاق بين الزوجين</w:t>
      </w:r>
      <w:bookmarkEnd w:id="69"/>
    </w:p>
    <w:p w:rsidR="00C57BE2" w:rsidRPr="008610BE" w:rsidRDefault="00C57BE2" w:rsidP="008A5D2D">
      <w:pPr>
        <w:spacing w:after="0" w:line="360" w:lineRule="auto"/>
        <w:ind w:firstLine="566"/>
        <w:jc w:val="both"/>
        <w:rPr>
          <w:rtl/>
        </w:rPr>
      </w:pPr>
      <w:r w:rsidRPr="008610BE">
        <w:rPr>
          <w:rtl/>
        </w:rPr>
        <w:t>لا مجال أن كل عمل ينتهي، فالتحكيم ينتهي بطرق عادية وغير عادية، فالطرق العادية ينتهي بها إذا أدى الحكمين مهمتهم وأتماها، وهذا محاولة منهم للم شمل الزوجين وتفادي تفكك الأسرة، فمجرد رفع التقرير إلى القاضي ينهي مهمتهما، كما أنه إذا انتهت المدة المطلوبة للتحكيم فإنه تنتهي مهمتهما أيضاً، وكذلك في حالة تصالح الزوجين وتنازلهما عن ادعاءاتهما انتهت مهمتهما أيضاً.</w:t>
      </w:r>
    </w:p>
    <w:p w:rsidR="00C57BE2" w:rsidRPr="008610BE" w:rsidRDefault="00C57BE2" w:rsidP="008A5D2D">
      <w:pPr>
        <w:spacing w:after="0" w:line="360" w:lineRule="auto"/>
        <w:ind w:firstLine="566"/>
        <w:jc w:val="both"/>
        <w:rPr>
          <w:rtl/>
        </w:rPr>
      </w:pPr>
      <w:r w:rsidRPr="008610BE">
        <w:rPr>
          <w:rtl/>
        </w:rPr>
        <w:t>أما غير العادية فتنتهي مهمة الحكمين بالعزل لسبب أو لآخر، فالعزل سلطة يملكها صاحب التعيين</w:t>
      </w:r>
      <w:r w:rsidRPr="008610BE">
        <w:rPr>
          <w:rStyle w:val="Appelnotedebasdep"/>
          <w:rtl/>
        </w:rPr>
        <w:footnoteReference w:id="91"/>
      </w:r>
      <w:r w:rsidRPr="008610BE">
        <w:rPr>
          <w:rtl/>
        </w:rPr>
        <w:t xml:space="preserve">، فبعزلهما تنتهي مهمتهما، كما تنتهي أيضاً مهمتهما إذا توفي أحد الزوجين </w:t>
      </w:r>
      <w:r w:rsidRPr="008610BE">
        <w:rPr>
          <w:rtl/>
        </w:rPr>
        <w:lastRenderedPageBreak/>
        <w:t>أو كلاهما، لأن الوفاة تنهي الخصام ولا مجال للصلح بينهما، وهذا ما نص عليه المشرع الجزائري في المادة 25 من القانون المدني.</w:t>
      </w:r>
    </w:p>
    <w:p w:rsidR="00C57BE2" w:rsidRPr="008610BE" w:rsidRDefault="00C57BE2" w:rsidP="008A5D2D">
      <w:pPr>
        <w:spacing w:after="0" w:line="360" w:lineRule="auto"/>
        <w:ind w:firstLine="566"/>
        <w:jc w:val="both"/>
        <w:rPr>
          <w:rtl/>
        </w:rPr>
      </w:pPr>
      <w:r w:rsidRPr="008610BE">
        <w:rPr>
          <w:rtl/>
        </w:rPr>
        <w:t>كما تنتهي مهمتهما إذا توفي الحكمين أو أحدهما، فبوفاتهما يتعين بعث حكمين آخرين لاستكمال التوفيق بين الزوجين، أما إذا توفي واحد منهما فإنه تنتهي مهمته هو فقط، أما الآخر فيكمل مهمته، فمهمة الحكمين أساساً هي الإصلاح بين الزوجين بأي طريقة من الطرق، وفي حالة تعذر ذاك وجب إشهاد الظالم من المظلوم من الزوجين.</w:t>
      </w:r>
    </w:p>
    <w:p w:rsidR="00C57BE2" w:rsidRPr="008610BE" w:rsidRDefault="00C57BE2" w:rsidP="008A5D2D">
      <w:pPr>
        <w:spacing w:after="0" w:line="360" w:lineRule="auto"/>
        <w:ind w:firstLine="566"/>
        <w:jc w:val="both"/>
        <w:rPr>
          <w:rtl/>
        </w:rPr>
      </w:pPr>
      <w:r w:rsidRPr="008610BE">
        <w:rPr>
          <w:rtl/>
        </w:rPr>
        <w:t>كذلك إذا كانا معينان من طرف الزوجين كان عزلهما والرجوع عن تحكيمهما</w:t>
      </w:r>
      <w:r w:rsidRPr="008610BE">
        <w:rPr>
          <w:rStyle w:val="Appelnotedebasdep"/>
          <w:rtl/>
        </w:rPr>
        <w:footnoteReference w:id="92"/>
      </w:r>
      <w:r w:rsidRPr="008610BE">
        <w:rPr>
          <w:rtl/>
        </w:rPr>
        <w:t>.</w:t>
      </w:r>
    </w:p>
    <w:p w:rsidR="00C57BE2" w:rsidRPr="008610BE" w:rsidRDefault="00C57BE2" w:rsidP="008A5D2D">
      <w:pPr>
        <w:spacing w:after="0" w:line="360" w:lineRule="auto"/>
        <w:ind w:firstLine="567"/>
        <w:jc w:val="both"/>
        <w:outlineLvl w:val="1"/>
        <w:rPr>
          <w:rtl/>
        </w:rPr>
      </w:pPr>
      <w:bookmarkStart w:id="70" w:name="_Toc461013639"/>
      <w:r w:rsidRPr="008610BE">
        <w:rPr>
          <w:b/>
          <w:bCs/>
          <w:rtl/>
        </w:rPr>
        <w:t>المطلب الثالث</w:t>
      </w:r>
      <w:r w:rsidRPr="008610BE">
        <w:rPr>
          <w:rtl/>
        </w:rPr>
        <w:t>: الآثار المترتبة عن عمل الحكمين</w:t>
      </w:r>
      <w:bookmarkEnd w:id="70"/>
    </w:p>
    <w:p w:rsidR="00C57BE2" w:rsidRPr="008610BE" w:rsidRDefault="00C57BE2" w:rsidP="008A5D2D">
      <w:pPr>
        <w:spacing w:after="0" w:line="360" w:lineRule="auto"/>
        <w:ind w:firstLine="566"/>
        <w:jc w:val="both"/>
        <w:rPr>
          <w:rtl/>
        </w:rPr>
      </w:pPr>
      <w:r w:rsidRPr="008610BE">
        <w:rPr>
          <w:rtl/>
        </w:rPr>
        <w:t>قد يتكلل عمل الحكمين بالنجاح وبذلك يرفع تقريرهما للقاضي الذي عينهما غير أنه قد يحدث ألا يستطيعا الوصول إلى الغاية التي بعثا من أجلها لسبب أو لآخر.</w:t>
      </w:r>
    </w:p>
    <w:p w:rsidR="00C57BE2" w:rsidRPr="008610BE" w:rsidRDefault="00C57BE2" w:rsidP="008A5D2D">
      <w:pPr>
        <w:spacing w:after="0" w:line="360" w:lineRule="auto"/>
        <w:ind w:firstLine="567"/>
        <w:jc w:val="both"/>
        <w:outlineLvl w:val="2"/>
        <w:rPr>
          <w:rtl/>
        </w:rPr>
      </w:pPr>
      <w:bookmarkStart w:id="71" w:name="_Toc461013640"/>
      <w:r w:rsidRPr="008610BE">
        <w:rPr>
          <w:b/>
          <w:bCs/>
          <w:rtl/>
        </w:rPr>
        <w:t>الفرع الأول</w:t>
      </w:r>
      <w:r w:rsidRPr="008610BE">
        <w:rPr>
          <w:rtl/>
        </w:rPr>
        <w:t>: نجاح إجراءات التحكيم بين الزوجين</w:t>
      </w:r>
      <w:bookmarkEnd w:id="71"/>
    </w:p>
    <w:p w:rsidR="00C57BE2" w:rsidRPr="008610BE" w:rsidRDefault="00C57BE2" w:rsidP="008A5D2D">
      <w:pPr>
        <w:spacing w:after="0" w:line="360" w:lineRule="auto"/>
        <w:ind w:firstLine="566"/>
        <w:jc w:val="both"/>
        <w:rPr>
          <w:rtl/>
        </w:rPr>
      </w:pPr>
      <w:r w:rsidRPr="008610BE">
        <w:rPr>
          <w:rtl/>
        </w:rPr>
        <w:t>يعتبر هذا هو الهدف الأول للحكمين وذلك من خلال عزمهما على الإصلاح بين الزوجين وهذا ببذل الجهد والعناء وبعدها يرفعان تقريرهما إلى القاضي، غير أنه عند جميع الفقهاء أن قرار الحكمين المتضمن الجمع بين الزوجين نافذ وملزم</w:t>
      </w:r>
      <w:r w:rsidRPr="008610BE">
        <w:rPr>
          <w:rStyle w:val="Appelnotedebasdep"/>
          <w:rtl/>
        </w:rPr>
        <w:footnoteReference w:id="93"/>
      </w:r>
      <w:r w:rsidRPr="008610BE">
        <w:rPr>
          <w:rtl/>
        </w:rPr>
        <w:t>، لأنه يزيل الشقاق بين الزوجين، وهذا ما لم ينص عليه المشرع الجزائري.</w:t>
      </w:r>
    </w:p>
    <w:p w:rsidR="00C57BE2" w:rsidRPr="008610BE" w:rsidRDefault="00C57BE2" w:rsidP="008A5D2D">
      <w:pPr>
        <w:spacing w:after="0" w:line="360" w:lineRule="auto"/>
        <w:ind w:firstLine="566"/>
        <w:jc w:val="both"/>
        <w:rPr>
          <w:rtl/>
        </w:rPr>
      </w:pPr>
      <w:r w:rsidRPr="008610BE">
        <w:rPr>
          <w:rtl/>
        </w:rPr>
        <w:lastRenderedPageBreak/>
        <w:t>فأولى أن يكون حكمهما نافذا إذ أقامهما الحاكم أو القاضي</w:t>
      </w:r>
      <w:r w:rsidRPr="008610BE">
        <w:rPr>
          <w:rStyle w:val="Appelnotedebasdep"/>
          <w:rtl/>
        </w:rPr>
        <w:footnoteReference w:id="94"/>
      </w:r>
      <w:r w:rsidRPr="008610BE">
        <w:rPr>
          <w:rtl/>
        </w:rPr>
        <w:t>، فالحاصل المفيد أن تقرير الحكمين ملزم للمحكمة والقاضي الذي عين الحكمين وبعثهما للتوفيق بين الزوجين.</w:t>
      </w:r>
    </w:p>
    <w:p w:rsidR="00C57BE2" w:rsidRPr="008610BE" w:rsidRDefault="00C57BE2" w:rsidP="008A5D2D">
      <w:pPr>
        <w:spacing w:after="0" w:line="360" w:lineRule="auto"/>
        <w:ind w:firstLine="566"/>
        <w:jc w:val="both"/>
        <w:rPr>
          <w:rtl/>
        </w:rPr>
      </w:pPr>
      <w:r w:rsidRPr="008610BE">
        <w:rPr>
          <w:rtl/>
        </w:rPr>
        <w:t>فقد ورد في مؤلف الأستاذ عبد العزيز سعد، حيث قال: "تقرير الحكمين مثله مثل أي وثيقة أو وسيلة من وسائل الإثبات التي يمكن أن تساعد القاضي على إصدار حكم سليم عندما يتصدى للفصل في موضوع النزاع تخضع لتقديره، فإن القاضي غير ملزم بما تضمنه التقرير إذا فشلت إجراءات التحكيم وتصدى للفصل في موضوع الدعوى"</w:t>
      </w:r>
      <w:r w:rsidRPr="008610BE">
        <w:rPr>
          <w:rStyle w:val="Appelnotedebasdep"/>
          <w:rtl/>
        </w:rPr>
        <w:footnoteReference w:id="95"/>
      </w:r>
      <w:r w:rsidRPr="008610BE">
        <w:rPr>
          <w:rtl/>
        </w:rPr>
        <w:t>.</w:t>
      </w:r>
    </w:p>
    <w:p w:rsidR="00C57BE2" w:rsidRPr="008610BE" w:rsidRDefault="00C57BE2" w:rsidP="008A5D2D">
      <w:pPr>
        <w:spacing w:after="0" w:line="360" w:lineRule="auto"/>
        <w:ind w:firstLine="566"/>
        <w:jc w:val="both"/>
        <w:rPr>
          <w:rtl/>
        </w:rPr>
      </w:pPr>
      <w:r w:rsidRPr="008610BE">
        <w:rPr>
          <w:rtl/>
        </w:rPr>
        <w:t xml:space="preserve">فعلى القاضي إثبات الصلح إذا نجحت إجراءات التحكيم والحكمين، وهذا ما قال به الدكتور الأنصاري حسن </w:t>
      </w:r>
      <w:proofErr w:type="spellStart"/>
      <w:r w:rsidRPr="008610BE">
        <w:rPr>
          <w:rtl/>
        </w:rPr>
        <w:t>النيداني</w:t>
      </w:r>
      <w:proofErr w:type="spellEnd"/>
      <w:r w:rsidRPr="008610BE">
        <w:rPr>
          <w:rtl/>
        </w:rPr>
        <w:t xml:space="preserve">: "أنه على المحكمة إثبات الصلح الذي توصل إليه الطرفان". </w:t>
      </w:r>
    </w:p>
    <w:p w:rsidR="00C57BE2" w:rsidRPr="008610BE" w:rsidRDefault="00C57BE2" w:rsidP="008A5D2D">
      <w:pPr>
        <w:spacing w:after="0" w:line="360" w:lineRule="auto"/>
        <w:ind w:firstLine="566"/>
        <w:jc w:val="both"/>
        <w:rPr>
          <w:rtl/>
        </w:rPr>
      </w:pPr>
      <w:r w:rsidRPr="008610BE">
        <w:rPr>
          <w:rtl/>
        </w:rPr>
        <w:t xml:space="preserve">فإنه إذا نجحت إجراءات التحكيم فإن الخصومة القضائية تنقضي، وقد قال الأنصاري حسن </w:t>
      </w:r>
      <w:proofErr w:type="spellStart"/>
      <w:r w:rsidRPr="008610BE">
        <w:rPr>
          <w:rtl/>
        </w:rPr>
        <w:t>النيداني</w:t>
      </w:r>
      <w:proofErr w:type="spellEnd"/>
      <w:r w:rsidRPr="008610BE">
        <w:rPr>
          <w:rtl/>
        </w:rPr>
        <w:t xml:space="preserve"> أنه: "إذا حصل صلح بين الزوجين فعلى المحكمة أن تصدر حكماً بانقضاء الخصومة القضائية"</w:t>
      </w:r>
      <w:r w:rsidRPr="008610BE">
        <w:rPr>
          <w:rStyle w:val="Appelnotedebasdep"/>
          <w:rtl/>
        </w:rPr>
        <w:footnoteReference w:id="96"/>
      </w:r>
      <w:r w:rsidRPr="008610BE">
        <w:rPr>
          <w:rtl/>
        </w:rPr>
        <w:t>.</w:t>
      </w:r>
    </w:p>
    <w:p w:rsidR="00C57BE2" w:rsidRPr="008610BE" w:rsidRDefault="00C57BE2" w:rsidP="008A5D2D">
      <w:pPr>
        <w:spacing w:after="0" w:line="360" w:lineRule="auto"/>
        <w:ind w:firstLine="567"/>
        <w:jc w:val="both"/>
        <w:outlineLvl w:val="2"/>
        <w:rPr>
          <w:rtl/>
        </w:rPr>
      </w:pPr>
      <w:bookmarkStart w:id="72" w:name="_Toc461013641"/>
      <w:r w:rsidRPr="008610BE">
        <w:rPr>
          <w:b/>
          <w:bCs/>
          <w:rtl/>
        </w:rPr>
        <w:t>الفرع الثاني</w:t>
      </w:r>
      <w:r w:rsidRPr="008610BE">
        <w:rPr>
          <w:rtl/>
        </w:rPr>
        <w:t>: فشل إجراءات التحكيم في الصلح بين الزوجين</w:t>
      </w:r>
      <w:bookmarkEnd w:id="72"/>
    </w:p>
    <w:p w:rsidR="00C57BE2" w:rsidRPr="008610BE" w:rsidRDefault="00C57BE2" w:rsidP="008A5D2D">
      <w:pPr>
        <w:spacing w:after="0" w:line="360" w:lineRule="auto"/>
        <w:ind w:firstLine="566"/>
        <w:jc w:val="both"/>
        <w:rPr>
          <w:rtl/>
        </w:rPr>
      </w:pPr>
      <w:r w:rsidRPr="008610BE">
        <w:rPr>
          <w:rtl/>
        </w:rPr>
        <w:t xml:space="preserve">قد لا ينجح الحكمان في التوفيق بين الزوجين لعدة أسباب فلا يتوصلون إلى الصلح ومن هاته الأسباب </w:t>
      </w:r>
      <w:proofErr w:type="spellStart"/>
      <w:r w:rsidRPr="008610BE">
        <w:rPr>
          <w:rtl/>
        </w:rPr>
        <w:t>مايلي</w:t>
      </w:r>
      <w:proofErr w:type="spellEnd"/>
      <w:r w:rsidRPr="008610BE">
        <w:rPr>
          <w:rtl/>
        </w:rPr>
        <w:t>:</w:t>
      </w:r>
    </w:p>
    <w:p w:rsidR="00C57BE2" w:rsidRPr="008610BE" w:rsidRDefault="00C57BE2" w:rsidP="008A5D2D">
      <w:pPr>
        <w:spacing w:after="0" w:line="360" w:lineRule="auto"/>
        <w:ind w:firstLine="566"/>
        <w:jc w:val="both"/>
        <w:rPr>
          <w:rtl/>
        </w:rPr>
      </w:pPr>
      <w:r w:rsidRPr="008610BE">
        <w:rPr>
          <w:rtl/>
        </w:rPr>
        <w:lastRenderedPageBreak/>
        <w:t>- رفض مبدأ الصلح، ويتجلى هذا في رفض الزوجين أو أحدهما للصلح والتمسك بفك الرابطة الزوجية.</w:t>
      </w:r>
    </w:p>
    <w:p w:rsidR="00C57BE2" w:rsidRPr="008610BE" w:rsidRDefault="00C57BE2" w:rsidP="008A5D2D">
      <w:pPr>
        <w:spacing w:after="0" w:line="360" w:lineRule="auto"/>
        <w:ind w:firstLine="566"/>
        <w:jc w:val="both"/>
        <w:rPr>
          <w:rtl/>
        </w:rPr>
      </w:pPr>
      <w:r w:rsidRPr="008610BE">
        <w:rPr>
          <w:rtl/>
        </w:rPr>
        <w:t>- اختلاف الحكمين، فقد يختلفان في عدة أشياء تخص الصلح كأقوال الزوجين.</w:t>
      </w:r>
    </w:p>
    <w:p w:rsidR="00C57BE2" w:rsidRPr="008610BE" w:rsidRDefault="00C57BE2" w:rsidP="008A5D2D">
      <w:pPr>
        <w:spacing w:after="0" w:line="360" w:lineRule="auto"/>
        <w:ind w:firstLine="566"/>
        <w:jc w:val="both"/>
        <w:rPr>
          <w:rtl/>
        </w:rPr>
      </w:pPr>
      <w:r w:rsidRPr="008610BE">
        <w:rPr>
          <w:rtl/>
        </w:rPr>
        <w:t>- تقصير الحكمين، قد يكون سبباً لفشل التحكيم وهذا فواتاً لمدة التحكيم الممنوحة مما يؤدي إلى القول من طرف القاضي أنهما فشلا في أداء مهمتهما، وهذا ما يؤدي إلى بعث حكمين آخرين للتوفيق بين الزوجين</w:t>
      </w:r>
      <w:r w:rsidRPr="008610BE">
        <w:rPr>
          <w:rStyle w:val="Appelnotedebasdep"/>
          <w:rtl/>
        </w:rPr>
        <w:footnoteReference w:id="97"/>
      </w:r>
      <w:r w:rsidRPr="008610BE">
        <w:rPr>
          <w:rtl/>
        </w:rPr>
        <w:t>.</w:t>
      </w:r>
    </w:p>
    <w:p w:rsidR="00C57BE2" w:rsidRPr="008610BE" w:rsidRDefault="00C57BE2" w:rsidP="008A5D2D">
      <w:pPr>
        <w:spacing w:after="0" w:line="360" w:lineRule="auto"/>
        <w:ind w:firstLine="567"/>
        <w:jc w:val="both"/>
        <w:outlineLvl w:val="0"/>
        <w:rPr>
          <w:rtl/>
        </w:rPr>
      </w:pPr>
      <w:bookmarkStart w:id="73" w:name="_Toc461013642"/>
      <w:r w:rsidRPr="008610BE">
        <w:rPr>
          <w:b/>
          <w:bCs/>
          <w:rtl/>
        </w:rPr>
        <w:t xml:space="preserve">المبحث الثاني: </w:t>
      </w:r>
      <w:r w:rsidRPr="008610BE">
        <w:rPr>
          <w:rtl/>
        </w:rPr>
        <w:t>الصلح في الطلاق</w:t>
      </w:r>
      <w:bookmarkEnd w:id="73"/>
    </w:p>
    <w:p w:rsidR="00C57BE2" w:rsidRPr="008610BE" w:rsidRDefault="00C57BE2" w:rsidP="008A5D2D">
      <w:pPr>
        <w:spacing w:after="0" w:line="360" w:lineRule="auto"/>
        <w:ind w:firstLine="566"/>
        <w:jc w:val="both"/>
        <w:rPr>
          <w:rtl/>
        </w:rPr>
      </w:pPr>
      <w:r w:rsidRPr="008610BE">
        <w:rPr>
          <w:rtl/>
        </w:rPr>
        <w:t>تعتبر محاولة الصلح من طرف القاضي من باب التوفيق بين الخصوم والمتخاصمين فقد وردت في القرآن الكريم والسنة النبوية الكثير من النصوص التي تؤكد على الصلح بين الخصوم، فجاء في القرآن الكريم أنه في حالة حدوث شقاق بين الزوجين وجب تعيين حكمين للتوفيق بين الزوجين، إلا أنه قد لا ينجح الحكمان في الصلح بين الزوجين لإصرار هذين الأخيرين أو أحدهما على فك الرابطة الزوجية والطلاق، فهنا يأتي دور القاضي المعروض عليه دعوى الطلاق للإصلاح بين الزوجين، فهذا يعتبر الوسيلة الثانية للصلح، وهذا لتفادي حل عقدة النكاح.</w:t>
      </w:r>
    </w:p>
    <w:p w:rsidR="00C57BE2" w:rsidRPr="008610BE" w:rsidRDefault="00C57BE2" w:rsidP="008A5D2D">
      <w:pPr>
        <w:spacing w:after="0" w:line="360" w:lineRule="auto"/>
        <w:ind w:firstLine="566"/>
        <w:jc w:val="both"/>
        <w:rPr>
          <w:rtl/>
        </w:rPr>
      </w:pPr>
      <w:r w:rsidRPr="008610BE">
        <w:rPr>
          <w:rtl/>
        </w:rPr>
        <w:t xml:space="preserve">أما المشرع فقد نص على محاولة الصلح في الطلاق في المادة 49 من قانون الأسرة، حيث جاء فيها: "لا يثبت الطلاق إلا بحكم بعد عدة محاولات صلح يجريها القاضي دون أن </w:t>
      </w:r>
      <w:r w:rsidRPr="008610BE">
        <w:rPr>
          <w:rtl/>
        </w:rPr>
        <w:lastRenderedPageBreak/>
        <w:t>تتجاوز مدنه ثلاثة أشهر ابتداءً من تاريخ رفع الدعوى"، وهذا ما سيأتي بيانه في هذا المبحث.</w:t>
      </w:r>
    </w:p>
    <w:p w:rsidR="00C57BE2" w:rsidRPr="008610BE" w:rsidRDefault="00C57BE2" w:rsidP="008A5D2D">
      <w:pPr>
        <w:spacing w:after="0" w:line="360" w:lineRule="auto"/>
        <w:ind w:firstLine="567"/>
        <w:jc w:val="both"/>
        <w:outlineLvl w:val="1"/>
        <w:rPr>
          <w:rtl/>
        </w:rPr>
      </w:pPr>
      <w:bookmarkStart w:id="74" w:name="_Toc461013643"/>
      <w:r w:rsidRPr="008610BE">
        <w:rPr>
          <w:b/>
          <w:bCs/>
          <w:rtl/>
        </w:rPr>
        <w:t>المطلب الأول</w:t>
      </w:r>
      <w:r w:rsidRPr="008610BE">
        <w:rPr>
          <w:rtl/>
        </w:rPr>
        <w:t>: أحكام محاولة الصلح من طرف القاضي</w:t>
      </w:r>
      <w:bookmarkEnd w:id="74"/>
    </w:p>
    <w:p w:rsidR="00C57BE2" w:rsidRPr="008610BE" w:rsidRDefault="00C57BE2" w:rsidP="008A5D2D">
      <w:pPr>
        <w:spacing w:after="0" w:line="360" w:lineRule="auto"/>
        <w:ind w:firstLine="566"/>
        <w:jc w:val="both"/>
        <w:rPr>
          <w:rtl/>
        </w:rPr>
      </w:pPr>
      <w:r w:rsidRPr="008610BE">
        <w:rPr>
          <w:rtl/>
        </w:rPr>
        <w:t>تعتبر أحكام محاولة الصلح من طرف القاضي شاملة لأهم عناصرها الأساسية ومسائلها الأولية وهذا ما سيتم عرضه في هذا المطلب.</w:t>
      </w:r>
    </w:p>
    <w:p w:rsidR="00C57BE2" w:rsidRPr="008610BE" w:rsidRDefault="00C57BE2" w:rsidP="008A5D2D">
      <w:pPr>
        <w:spacing w:after="0" w:line="360" w:lineRule="auto"/>
        <w:ind w:firstLine="567"/>
        <w:jc w:val="both"/>
        <w:outlineLvl w:val="2"/>
        <w:rPr>
          <w:rtl/>
        </w:rPr>
      </w:pPr>
      <w:bookmarkStart w:id="75" w:name="_Toc461013644"/>
      <w:r w:rsidRPr="008610BE">
        <w:rPr>
          <w:b/>
          <w:bCs/>
          <w:rtl/>
        </w:rPr>
        <w:t>الفرع الأول</w:t>
      </w:r>
      <w:r w:rsidRPr="008610BE">
        <w:rPr>
          <w:rtl/>
        </w:rPr>
        <w:t>: القواعد الموضوعية التي تحكم محاولة الصلح</w:t>
      </w:r>
      <w:bookmarkEnd w:id="75"/>
    </w:p>
    <w:p w:rsidR="00C57BE2" w:rsidRPr="008610BE" w:rsidRDefault="00C57BE2" w:rsidP="008A5D2D">
      <w:pPr>
        <w:spacing w:after="0" w:line="360" w:lineRule="auto"/>
        <w:ind w:firstLine="566"/>
        <w:jc w:val="both"/>
        <w:rPr>
          <w:rtl/>
        </w:rPr>
      </w:pPr>
      <w:r w:rsidRPr="008610BE">
        <w:rPr>
          <w:rtl/>
        </w:rPr>
        <w:t>هي الشروط التي يجب أن تتوفر في عقد جلسة الصلح حتى يمكن عقدها جلسة الصلح فإن لم تتوفر هاته الشروط فلا مجال لإمكانية إجراء محاولة الصلح بين الزوجين وهي:</w:t>
      </w:r>
    </w:p>
    <w:p w:rsidR="00C57BE2" w:rsidRPr="008610BE" w:rsidRDefault="00C57BE2" w:rsidP="008A5D2D">
      <w:pPr>
        <w:spacing w:after="0" w:line="360" w:lineRule="auto"/>
        <w:ind w:firstLine="566"/>
        <w:jc w:val="both"/>
        <w:rPr>
          <w:b/>
          <w:bCs/>
          <w:rtl/>
        </w:rPr>
      </w:pPr>
      <w:r w:rsidRPr="008610BE">
        <w:rPr>
          <w:b/>
          <w:bCs/>
          <w:rtl/>
        </w:rPr>
        <w:t xml:space="preserve">- شرط وجود عقد زواج: </w:t>
      </w:r>
    </w:p>
    <w:p w:rsidR="00C57BE2" w:rsidRPr="008610BE" w:rsidRDefault="00C57BE2" w:rsidP="008A5D2D">
      <w:pPr>
        <w:spacing w:after="0" w:line="360" w:lineRule="auto"/>
        <w:ind w:firstLine="566"/>
        <w:jc w:val="both"/>
        <w:rPr>
          <w:rtl/>
        </w:rPr>
      </w:pPr>
      <w:r w:rsidRPr="008610BE">
        <w:rPr>
          <w:rtl/>
        </w:rPr>
        <w:t>ترتبط محاولة الصلح التي يعقدها القاضي بمفهوم نص المادة 49 من قانون الأسرة بالعلاقة التي تربط الزوجين، وهي عقد النكاح، فلا يمكن القول بمحاولة للصلح من غير وجود لعقد زواج قائم فعلاً بين الزوجين، ويمكن القول بأن شرط الزواج هو الركن الأساسي لمحاولة الصلح، وعقد الزواج الرسمي هو الوسيلة الوحيدة التي يمكن من خلالها إثبات الصفة في ذلك، لأن الطلاق لا يكون إلا في عقد زواج قائم فعلاً من الناحية الشرعية على الأقل، وهو حل قيد النكاح ولا يكون إلا بناء على عقد زواج صحيح ولازم</w:t>
      </w:r>
      <w:r w:rsidRPr="008610BE">
        <w:rPr>
          <w:rStyle w:val="Appelnotedebasdep"/>
          <w:rtl/>
        </w:rPr>
        <w:footnoteReference w:id="98"/>
      </w:r>
      <w:r w:rsidRPr="008610BE">
        <w:rPr>
          <w:rtl/>
        </w:rPr>
        <w:t>.</w:t>
      </w:r>
    </w:p>
    <w:p w:rsidR="00C57BE2" w:rsidRPr="008610BE" w:rsidRDefault="00C57BE2" w:rsidP="008A5D2D">
      <w:pPr>
        <w:spacing w:after="0" w:line="360" w:lineRule="auto"/>
        <w:ind w:firstLine="566"/>
        <w:jc w:val="both"/>
        <w:rPr>
          <w:b/>
          <w:bCs/>
          <w:rtl/>
        </w:rPr>
      </w:pPr>
      <w:r w:rsidRPr="008610BE">
        <w:rPr>
          <w:b/>
          <w:bCs/>
          <w:rtl/>
        </w:rPr>
        <w:lastRenderedPageBreak/>
        <w:t>- شرط وجود دعوى طلاق معروضة على القضاء:</w:t>
      </w:r>
    </w:p>
    <w:p w:rsidR="00C57BE2" w:rsidRPr="008610BE" w:rsidRDefault="00C57BE2" w:rsidP="008A5D2D">
      <w:pPr>
        <w:spacing w:after="0" w:line="360" w:lineRule="auto"/>
        <w:ind w:firstLine="566"/>
        <w:jc w:val="both"/>
        <w:rPr>
          <w:rtl/>
        </w:rPr>
      </w:pPr>
      <w:r w:rsidRPr="008610BE">
        <w:rPr>
          <w:rtl/>
        </w:rPr>
        <w:t>يعتبر الطلاق حقا شرعيا جعله الشارع الحكيم بيد الزوج، فقد ثبت عن النبي (صلى الله عليه وسلم) أنه قال: "إ</w:t>
      </w:r>
      <w:r>
        <w:rPr>
          <w:rtl/>
        </w:rPr>
        <w:t>نما جعل الطلاق لمن أخذ بالساق"</w:t>
      </w:r>
      <w:r w:rsidRPr="008610BE">
        <w:rPr>
          <w:rtl/>
        </w:rPr>
        <w:t xml:space="preserve"> بمعنى الرجل، كما أعطى الحق للمرأة إمكانية حل الزواج بالتطليق والخلع، أما المشرع الجزائري فعبر عنها بلفظ "</w:t>
      </w:r>
      <w:r w:rsidRPr="008610BE">
        <w:rPr>
          <w:b/>
          <w:bCs/>
          <w:rtl/>
        </w:rPr>
        <w:t>الطلاق</w:t>
      </w:r>
      <w:r w:rsidRPr="008610BE">
        <w:rPr>
          <w:rtl/>
        </w:rPr>
        <w:t>" أي جمعها في هذا اللفظ، فيجوز للزوج اسقاط الطلاق بإرادته المنفردة، فهو حق يكتسبه بمجرد العقد على الزوجة عقداً صحيحاً، ويكون من الزوج نفسه أو رسوله أو وكيله</w:t>
      </w:r>
      <w:r w:rsidRPr="008610BE">
        <w:rPr>
          <w:rStyle w:val="Appelnotedebasdep"/>
          <w:rtl/>
        </w:rPr>
        <w:footnoteReference w:id="99"/>
      </w:r>
      <w:r w:rsidRPr="008610BE">
        <w:rPr>
          <w:rtl/>
        </w:rPr>
        <w:t>، إنما يكفي أن يعبر عن إرادته في ذلك لأن العصمة بيده أصلاً</w:t>
      </w:r>
      <w:r w:rsidRPr="008610BE">
        <w:rPr>
          <w:rStyle w:val="Appelnotedebasdep"/>
          <w:rtl/>
        </w:rPr>
        <w:footnoteReference w:id="100"/>
      </w:r>
      <w:r w:rsidRPr="008610BE">
        <w:rPr>
          <w:rtl/>
        </w:rPr>
        <w:t>.</w:t>
      </w:r>
    </w:p>
    <w:p w:rsidR="00C57BE2" w:rsidRPr="008610BE" w:rsidRDefault="00C57BE2" w:rsidP="008A5D2D">
      <w:pPr>
        <w:spacing w:after="0" w:line="360" w:lineRule="auto"/>
        <w:ind w:firstLine="566"/>
        <w:jc w:val="both"/>
        <w:rPr>
          <w:rtl/>
        </w:rPr>
      </w:pPr>
      <w:r w:rsidRPr="008610BE">
        <w:rPr>
          <w:rtl/>
        </w:rPr>
        <w:t xml:space="preserve">كما يمكن أن يكون الطلاق بالتراضي، أي بتراضي الزوجين واتفاقهما معاً </w:t>
      </w:r>
      <w:proofErr w:type="spellStart"/>
      <w:r w:rsidRPr="008610BE">
        <w:rPr>
          <w:rtl/>
        </w:rPr>
        <w:t>وبناءاً</w:t>
      </w:r>
      <w:proofErr w:type="spellEnd"/>
      <w:r w:rsidRPr="008610BE">
        <w:rPr>
          <w:rtl/>
        </w:rPr>
        <w:t xml:space="preserve"> على رغبتهما المشتركة، أي أن يتفق الزوج والزوجة على إيقاع الطلاق بينهما، فيتفقان على مبدأ الطلاق وكل ما يتصل به من توابع وغيرها من الحقوق، فلا يمكن معارضة اتفاق الزوجين على وضع حد للرابطة الزوجية القائمة بينهما بأن يتطلقا بتراضيهما ووفقاً لإرادتهما المشتركة فا</w:t>
      </w:r>
      <w:r>
        <w:rPr>
          <w:rtl/>
        </w:rPr>
        <w:t>لطلاق بالتراضي غير محرم شرعاً</w:t>
      </w:r>
      <w:r w:rsidRPr="008610BE">
        <w:rPr>
          <w:rStyle w:val="Appelnotedebasdep"/>
          <w:rtl/>
        </w:rPr>
        <w:footnoteReference w:id="101"/>
      </w:r>
      <w:r>
        <w:rPr>
          <w:rtl/>
        </w:rPr>
        <w:t xml:space="preserve">. </w:t>
      </w:r>
    </w:p>
    <w:p w:rsidR="00C57BE2" w:rsidRPr="008610BE" w:rsidRDefault="00C57BE2" w:rsidP="008A5D2D">
      <w:pPr>
        <w:spacing w:after="0" w:line="360" w:lineRule="auto"/>
        <w:ind w:firstLine="566"/>
        <w:jc w:val="both"/>
        <w:rPr>
          <w:rtl/>
        </w:rPr>
      </w:pPr>
      <w:r w:rsidRPr="008610BE">
        <w:rPr>
          <w:rtl/>
        </w:rPr>
        <w:t xml:space="preserve">كذلك يمكن أن يكون الطلاق بطلب من الزوجة، ويشمل هذا التطليق والخلع وفقاً للمادتين 53 و54 من قانون الأسرة، فالتطليق هو طلب الزوجة حل الرابطة الزوجية المنفردة </w:t>
      </w:r>
      <w:r w:rsidRPr="008610BE">
        <w:rPr>
          <w:rtl/>
        </w:rPr>
        <w:lastRenderedPageBreak/>
        <w:t>من القاضي، ليفرق بينهما بموجب حكم قضائي</w:t>
      </w:r>
      <w:r w:rsidRPr="008610BE">
        <w:rPr>
          <w:rStyle w:val="Appelnotedebasdep"/>
          <w:rtl/>
        </w:rPr>
        <w:footnoteReference w:id="102"/>
      </w:r>
      <w:r w:rsidRPr="008610BE">
        <w:rPr>
          <w:rtl/>
        </w:rPr>
        <w:t>، أما الخلع هو طلاق المرأة مقابل عوض تلتزم به، فالمشرع اعتبر كل هذه الفرق طلاقاً بمعناه العام لطريق حل الرابطة الزوجية، فحق حل الرابطة الزوجية ثابت للزوجين، فأن ممارسته قانوناً لا يمكن أن تتم إلا عن طريق التوجه للقضاء وتسجيل الدعوى القضائية بذلك، فهذا يعتبر الوسيلة الوحيدة الإجرائية التي يمكن من خلالها التعبير عن الإرادة في هذا الإطار القانوني، باعتبار الدعوى سلطة يخولها له النظام القانوني في الالتجاء إلى الجهات القضائية لغرض حماية حقه</w:t>
      </w:r>
      <w:r w:rsidRPr="008610BE">
        <w:rPr>
          <w:rStyle w:val="Appelnotedebasdep"/>
          <w:rtl/>
        </w:rPr>
        <w:footnoteReference w:id="103"/>
      </w:r>
      <w:r w:rsidRPr="008610BE">
        <w:rPr>
          <w:rtl/>
        </w:rPr>
        <w:t>.</w:t>
      </w:r>
    </w:p>
    <w:p w:rsidR="00C57BE2" w:rsidRPr="008610BE" w:rsidRDefault="00C57BE2" w:rsidP="008A5D2D">
      <w:pPr>
        <w:spacing w:after="0" w:line="360" w:lineRule="auto"/>
        <w:ind w:firstLine="566"/>
        <w:jc w:val="both"/>
        <w:rPr>
          <w:rtl/>
        </w:rPr>
      </w:pPr>
      <w:r w:rsidRPr="008610BE">
        <w:rPr>
          <w:rtl/>
        </w:rPr>
        <w:t>فشرط وجود دعوى طلاق معروضة على القضاء هو الشرط الموضوعي الثاني لإمكان عقد جلسة محاولة الصلح بين الزوجين في الطلاق، وعلى العموم فإنه يتم اللجوء إلى القضاء بطريق رفع الدعوى التي تكون بموجب تسجيل عريضة على مستوى كتابة ضبط المحكمة المختصة</w:t>
      </w:r>
      <w:r w:rsidRPr="008610BE">
        <w:rPr>
          <w:rStyle w:val="Appelnotedebasdep"/>
          <w:rtl/>
        </w:rPr>
        <w:footnoteReference w:id="104"/>
      </w:r>
      <w:r w:rsidRPr="008610BE">
        <w:rPr>
          <w:rtl/>
        </w:rPr>
        <w:t>.</w:t>
      </w:r>
    </w:p>
    <w:p w:rsidR="00C57BE2" w:rsidRDefault="00C57BE2" w:rsidP="008A5D2D">
      <w:pPr>
        <w:spacing w:after="0" w:line="360" w:lineRule="auto"/>
        <w:ind w:firstLine="567"/>
        <w:jc w:val="both"/>
        <w:outlineLvl w:val="2"/>
        <w:rPr>
          <w:rtl/>
        </w:rPr>
      </w:pPr>
      <w:bookmarkStart w:id="76" w:name="_Toc461013645"/>
      <w:r w:rsidRPr="008610BE">
        <w:rPr>
          <w:b/>
          <w:bCs/>
          <w:rtl/>
        </w:rPr>
        <w:t>الفرع الثاني</w:t>
      </w:r>
      <w:r w:rsidRPr="008610BE">
        <w:rPr>
          <w:rtl/>
        </w:rPr>
        <w:t>: القواعد الشكلية التي تحكم محاولة الصلح</w:t>
      </w:r>
      <w:bookmarkEnd w:id="76"/>
    </w:p>
    <w:p w:rsidR="00C57BE2" w:rsidRPr="008610BE" w:rsidRDefault="00C57BE2" w:rsidP="008A5D2D">
      <w:pPr>
        <w:spacing w:after="0" w:line="360" w:lineRule="auto"/>
        <w:ind w:firstLine="566"/>
        <w:jc w:val="both"/>
        <w:rPr>
          <w:rtl/>
        </w:rPr>
      </w:pPr>
      <w:r w:rsidRPr="008610BE">
        <w:rPr>
          <w:rtl/>
        </w:rPr>
        <w:t xml:space="preserve"> وهي القواعد المتعلقة بأشخاصها وإجراءاتها.</w:t>
      </w:r>
    </w:p>
    <w:p w:rsidR="00C57BE2" w:rsidRPr="008610BE" w:rsidRDefault="00C57BE2" w:rsidP="008A5D2D">
      <w:pPr>
        <w:spacing w:after="0" w:line="360" w:lineRule="auto"/>
        <w:ind w:firstLine="566"/>
        <w:jc w:val="both"/>
        <w:rPr>
          <w:rtl/>
        </w:rPr>
      </w:pPr>
      <w:r w:rsidRPr="008610BE">
        <w:rPr>
          <w:rtl/>
        </w:rPr>
        <w:t>1-</w:t>
      </w:r>
      <w:r w:rsidRPr="008610BE">
        <w:rPr>
          <w:b/>
          <w:bCs/>
          <w:rtl/>
        </w:rPr>
        <w:t>الأشخاص</w:t>
      </w:r>
      <w:r w:rsidRPr="008610BE">
        <w:rPr>
          <w:rtl/>
        </w:rPr>
        <w:t xml:space="preserve">: يمثلون طرفي الدعوى وهما الزوجان هذا من جهة، ومن جهة أخرى وبرفع الدعوى وعرض الطلب على القضاء يوجد أشخاص آخرين هم القاضي المكلف بالأحوال الشخصية، وهو الذي يشرف على محاولة الصلح، ثم نجد دور شخص آخر هو </w:t>
      </w:r>
      <w:r w:rsidRPr="008610BE">
        <w:rPr>
          <w:rtl/>
        </w:rPr>
        <w:lastRenderedPageBreak/>
        <w:t>الكاتب (نائب القاضي)، لكن المشرع الجزائري لم يبين قواعد الحضور المتعلقة بالزوجين، فلم يستوجب حضور الزوجين شخصياً معاً أمام المحكمة، وعلى هذا يجوز التوكيل في الصلح لكن يستلزم الصلح وكالة خاصة وهذا ما نص عليه المشرع الجزائري في المادة 574 من القانون المدني لكن كان من الأحسن أن ينص على الزوج ووجوب حضور الزوجين في جلسة الصلح حتى يتسنى للقاضي معرفة أسباب الخصام ومبررات طلب فك الرابطة الزوجية، ولأن هناك من الأمور التي لا يستطيع الزوج أو الزوجة البوح بها، أما عن حضور القاضي لمحاولة الصلح فهذا تحصيل حاصل، ومن باب أولى لأنه هو من يتولى الصلح بين الزوجين، فلا يتصور إجراؤها في غيابه، ونص المادة 49 من قانون الأسرة أكد على ذلك، أما كاتب القاضي فالمفروض ألا يحضر وهذا لعدم نشر أسرار الزوجية الخاصة، غير أن القانون لم يبين وجوب حضوره في جلسة الصلح، إلا أنه يفهم من نص المادة 49/02 من قانون الأسرة أن حضوره أمر ضروري عندما نص المشرع على أن القاضي يحرر محضراً يبين فيه مساعي الصلح بين الزوجين، ويوقعه مع كاتب الضبط والطرفين، غير أنه لا يخدم سرية جلسة محاولة الصلح.</w:t>
      </w:r>
    </w:p>
    <w:p w:rsidR="00C57BE2" w:rsidRDefault="00C57BE2" w:rsidP="008A5D2D">
      <w:pPr>
        <w:spacing w:after="0" w:line="360" w:lineRule="auto"/>
        <w:ind w:firstLine="566"/>
        <w:jc w:val="both"/>
        <w:rPr>
          <w:rtl/>
        </w:rPr>
      </w:pPr>
      <w:r w:rsidRPr="008610BE">
        <w:rPr>
          <w:rtl/>
        </w:rPr>
        <w:t xml:space="preserve">2- </w:t>
      </w:r>
      <w:r w:rsidRPr="008610BE">
        <w:rPr>
          <w:b/>
          <w:bCs/>
          <w:rtl/>
        </w:rPr>
        <w:t>الإجراءات</w:t>
      </w:r>
      <w:r w:rsidRPr="008610BE">
        <w:rPr>
          <w:rtl/>
        </w:rPr>
        <w:t>: هي القواعد التي يسلكها القاضي في إجراء محاولة الصلح بين الزوجين وقد بينها المشرع الجزائري في قانون الإجراءات المدنية والإدارية، بحيث لابد للقاضي الرجوع لها عن عرض محاولة الصلح عليه.</w:t>
      </w:r>
    </w:p>
    <w:p w:rsidR="00C57BE2" w:rsidRDefault="00C57BE2" w:rsidP="008A5D2D">
      <w:pPr>
        <w:spacing w:after="0" w:line="360" w:lineRule="auto"/>
        <w:ind w:firstLine="566"/>
        <w:jc w:val="both"/>
        <w:rPr>
          <w:rtl/>
        </w:rPr>
      </w:pPr>
    </w:p>
    <w:p w:rsidR="00C57BE2" w:rsidRPr="008610BE" w:rsidRDefault="00C57BE2" w:rsidP="008A5D2D">
      <w:pPr>
        <w:spacing w:after="0" w:line="360" w:lineRule="auto"/>
        <w:jc w:val="both"/>
        <w:outlineLvl w:val="1"/>
        <w:rPr>
          <w:rtl/>
        </w:rPr>
      </w:pPr>
      <w:bookmarkStart w:id="77" w:name="_Toc461013646"/>
      <w:r w:rsidRPr="008610BE">
        <w:rPr>
          <w:b/>
          <w:bCs/>
          <w:rtl/>
        </w:rPr>
        <w:lastRenderedPageBreak/>
        <w:t>المطلب الثاني</w:t>
      </w:r>
      <w:r w:rsidRPr="008610BE">
        <w:rPr>
          <w:rtl/>
        </w:rPr>
        <w:t>: م</w:t>
      </w:r>
      <w:r>
        <w:rPr>
          <w:rtl/>
        </w:rPr>
        <w:t>يعاد ووقت عقد جلسة محاولة الصلح</w:t>
      </w:r>
      <w:bookmarkEnd w:id="77"/>
    </w:p>
    <w:p w:rsidR="00C57BE2" w:rsidRPr="008610BE" w:rsidRDefault="00C57BE2" w:rsidP="008A5D2D">
      <w:pPr>
        <w:spacing w:after="0" w:line="360" w:lineRule="auto"/>
        <w:ind w:firstLine="566"/>
        <w:jc w:val="both"/>
        <w:rPr>
          <w:rtl/>
        </w:rPr>
      </w:pPr>
      <w:r w:rsidRPr="008610BE">
        <w:rPr>
          <w:rtl/>
        </w:rPr>
        <w:t xml:space="preserve">نص المشرع الجزائري في المادة 49 من قانون الأسرة على أنه: "لا يثبت الطلاق إلا بحكم بعد عدة محاولات صلح يجريها القاضي دون أن تتجاوز مدتها ثلاثة أشهر </w:t>
      </w:r>
      <w:proofErr w:type="spellStart"/>
      <w:r w:rsidRPr="008610BE">
        <w:rPr>
          <w:rtl/>
        </w:rPr>
        <w:t>ابتداءاً</w:t>
      </w:r>
      <w:proofErr w:type="spellEnd"/>
      <w:r w:rsidRPr="008610BE">
        <w:rPr>
          <w:rtl/>
        </w:rPr>
        <w:t xml:space="preserve"> من تاريخ رفع الدعوى". فالمشرع بين زمان عقد جلسة محاولة الصلح وبين أيضاً متى يبدأ سريان ميعادها، واشترط عدم تجاوزها ثلاثة أشهر، فمحاولة الصلح ينبغي أن يعقدها القاضي في أجل ميعاد الثلاثة أشهر من تاريخ رفع الدعوى، أي من تاريخ تسجيلها بكتابة ضبط المحكمة</w:t>
      </w:r>
      <w:r w:rsidRPr="008610BE">
        <w:rPr>
          <w:rStyle w:val="Appelnotedebasdep"/>
          <w:rtl/>
        </w:rPr>
        <w:footnoteReference w:id="105"/>
      </w:r>
      <w:r w:rsidRPr="008610BE">
        <w:rPr>
          <w:rtl/>
        </w:rPr>
        <w:t xml:space="preserve"> كذلك على القاضي إجراء عدة محاولات صلح عند عدم نجاح الأولى والثانية، إلى أن تنجح أو تستغرق مدة الثلاثة أشهر، لكن يمكن القول أن المدة التي حددها المشرع لمحاولة الصلح ليست بالمدة الطويلة التي يطول معها أمر التقاضي وليست بالمدة القصيرة التي تضيع معها فرص الصلح، ويلاحظ الأستاذ عبد العزيز سعد أن هذه المدة (03 أشهر) لا تتناسب مع شعار السرعة في الإنجاز، بحيث أن قضايا الأحوال الشخصية ومنها الطلاق تعتبر من تلك التي تتطلب السرعة وتتصف أحياناً بالاستعجال، فكان من الأفضل جعل إجراءات محاولة الصلح لا تتجاوز مدة شهر واحد من تاريخ تسجيل الدعوى بكتابة ضبط المحكمة، إذا أن بالنظر إلى ما هو جار به العمل واقعاً من أن عرض الموضوع على القاضي يتم بعد جدولة القضية ويكون بعد عشرون يوم على الأقل وشهر </w:t>
      </w:r>
      <w:r w:rsidRPr="008610BE">
        <w:rPr>
          <w:rtl/>
        </w:rPr>
        <w:lastRenderedPageBreak/>
        <w:t>على الأكثر، فإن لم يقم القاضي بمحاولة الصلح في هاته الفترة فإنه ما تبقى يكون معقولاً جداً لإمكان عقد جلسة الصلح بل جلسات الصلح</w:t>
      </w:r>
      <w:r w:rsidRPr="008610BE">
        <w:rPr>
          <w:rStyle w:val="Appelnotedebasdep"/>
          <w:rtl/>
        </w:rPr>
        <w:footnoteReference w:id="106"/>
      </w:r>
      <w:r w:rsidRPr="008610BE">
        <w:rPr>
          <w:rtl/>
        </w:rPr>
        <w:t xml:space="preserve">. </w:t>
      </w:r>
    </w:p>
    <w:p w:rsidR="00C57BE2" w:rsidRPr="008610BE" w:rsidRDefault="00C57BE2" w:rsidP="008A5D2D">
      <w:pPr>
        <w:spacing w:after="0" w:line="360" w:lineRule="auto"/>
        <w:jc w:val="both"/>
        <w:outlineLvl w:val="1"/>
        <w:rPr>
          <w:rtl/>
        </w:rPr>
      </w:pPr>
      <w:bookmarkStart w:id="78" w:name="_Toc461013647"/>
      <w:r w:rsidRPr="008610BE">
        <w:rPr>
          <w:b/>
          <w:bCs/>
          <w:rtl/>
        </w:rPr>
        <w:t>المطلب الثالث</w:t>
      </w:r>
      <w:r w:rsidRPr="008610BE">
        <w:rPr>
          <w:rtl/>
        </w:rPr>
        <w:t>: إجراءات انعقاد وسير ج</w:t>
      </w:r>
      <w:r>
        <w:rPr>
          <w:rtl/>
        </w:rPr>
        <w:t>لسة محاولة الصلح</w:t>
      </w:r>
      <w:bookmarkEnd w:id="78"/>
    </w:p>
    <w:p w:rsidR="00C57BE2" w:rsidRPr="008610BE" w:rsidRDefault="00C57BE2" w:rsidP="008A5D2D">
      <w:pPr>
        <w:spacing w:after="0" w:line="360" w:lineRule="auto"/>
        <w:ind w:firstLine="566"/>
        <w:jc w:val="both"/>
        <w:rPr>
          <w:rtl/>
        </w:rPr>
      </w:pPr>
      <w:r w:rsidRPr="008610BE">
        <w:rPr>
          <w:rtl/>
        </w:rPr>
        <w:t xml:space="preserve">لم يبين المشرع الجزائري في قانون الأسرة إجراءات عقد وسير جلسة محاولة الصلح أمام القاضي، فلم يضع طريقة أو كيفية يمكن الرجوع إليها في عقد وسير جلسة محاولة الصلح ولكي تنعقد جلسة الصلح يجب إعلام الزوج الآخر من طرف المحكمة عن طريق المحضر القضائي، وهذا شرط أولي في كل خصومة قضائية، وهذا ما نص عليه المشرع الجزائري في المادة 13 من قانون الإجراءات المدنية القديم، ويجب إعلام الطرف الآخر بتاريخ الجلسة وعند حضور الزوجين أول جلسة أمام المحكمة يستدعيهما القاضي إلى مكتبه بواسطة مكتب الضبط لحضور جلسة الصلح، وبعد التأكد من هويتهما يباشر الصلح بينهما بسماع أقوالهم أولاً فيعطي الكلمة للزوجين الواحد تلوا الآخر على </w:t>
      </w:r>
      <w:proofErr w:type="spellStart"/>
      <w:r w:rsidRPr="008610BE">
        <w:rPr>
          <w:rtl/>
        </w:rPr>
        <w:t>إجتماع</w:t>
      </w:r>
      <w:proofErr w:type="spellEnd"/>
      <w:r w:rsidRPr="008610BE">
        <w:rPr>
          <w:rtl/>
        </w:rPr>
        <w:t xml:space="preserve"> ويعرف منهما أسباب الشقاق، فيكون له نظرة عن ذلك ينطلق من خلالها في الصلح بين الزوجين، فيشعرهما بضرورة التسامح المتبادل ويبرز محاسن الألفة والمحبة ويذلل لهما صعاب الزوجية من أجل استقرار الأسرة وضمان مصالح أبنائهم، فإن تجاوب الزوجين في ذلك وأظهرا نية للصلح، وأصلح القاضي بينهما فبها ونعمت، أما في حالة العكس فيعلمهما بتاريخ الجلسة القادمة لإمكان الصلح بينهما علها تهدأ النفوس الثائرة، وبعد استغراق المدة المطلوبة </w:t>
      </w:r>
      <w:r w:rsidRPr="008610BE">
        <w:rPr>
          <w:rtl/>
        </w:rPr>
        <w:lastRenderedPageBreak/>
        <w:t xml:space="preserve">لذلك بغض النظر عن النتيجة </w:t>
      </w:r>
      <w:proofErr w:type="spellStart"/>
      <w:r w:rsidRPr="008610BE">
        <w:rPr>
          <w:rtl/>
        </w:rPr>
        <w:t>المتوصل</w:t>
      </w:r>
      <w:proofErr w:type="spellEnd"/>
      <w:r w:rsidRPr="008610BE">
        <w:rPr>
          <w:rtl/>
        </w:rPr>
        <w:t xml:space="preserve"> لها في ذلك، يجب على القاضي تحرير محضر بذلك يبين فيه مساعي الصلح بين الزوجين وتواريخ محاولات الصلح</w:t>
      </w:r>
      <w:r w:rsidRPr="008610BE">
        <w:rPr>
          <w:rStyle w:val="Appelnotedebasdep"/>
          <w:rtl/>
        </w:rPr>
        <w:footnoteReference w:id="107"/>
      </w:r>
      <w:r w:rsidRPr="008610BE">
        <w:rPr>
          <w:rtl/>
        </w:rPr>
        <w:t>.</w:t>
      </w:r>
    </w:p>
    <w:p w:rsidR="00C57BE2" w:rsidRPr="00897D66" w:rsidRDefault="00C57BE2" w:rsidP="008A5D2D">
      <w:pPr>
        <w:spacing w:after="0" w:line="360" w:lineRule="auto"/>
        <w:ind w:firstLine="566"/>
        <w:jc w:val="both"/>
        <w:rPr>
          <w:rtl/>
        </w:rPr>
      </w:pPr>
      <w:r w:rsidRPr="008610BE">
        <w:rPr>
          <w:rtl/>
        </w:rPr>
        <w:t>لكن قد يعتري أحد الزوجين سبب وجيه لعدم الحضور إلى جلسة الصلح، لكن إن لم يكن لكل منهما أي سبب يبرر عدم حضوره جلسة الصلح في جميع جلساتها رغم تبليغه بتاريخ عقد الجلسة، فهذا يعتبر رفضاً لجلسة الصلح، وهنا يتسنى للقاضي السير في إجراءات الدعوى</w:t>
      </w:r>
      <w:r w:rsidRPr="008610BE">
        <w:rPr>
          <w:rStyle w:val="Appelnotedebasdep"/>
          <w:rtl/>
        </w:rPr>
        <w:footnoteReference w:id="108"/>
      </w:r>
      <w:r w:rsidRPr="008610BE">
        <w:rPr>
          <w:rtl/>
        </w:rPr>
        <w:t>.</w:t>
      </w:r>
    </w:p>
    <w:p w:rsidR="00C57BE2" w:rsidRPr="008610BE" w:rsidRDefault="00C57BE2" w:rsidP="008A5D2D">
      <w:pPr>
        <w:spacing w:after="0" w:line="360" w:lineRule="auto"/>
        <w:ind w:firstLine="567"/>
        <w:jc w:val="both"/>
        <w:outlineLvl w:val="1"/>
        <w:rPr>
          <w:rtl/>
        </w:rPr>
      </w:pPr>
      <w:bookmarkStart w:id="79" w:name="_Toc461013648"/>
      <w:r w:rsidRPr="008610BE">
        <w:rPr>
          <w:b/>
          <w:bCs/>
          <w:rtl/>
        </w:rPr>
        <w:t>المطلب الرابع</w:t>
      </w:r>
      <w:r w:rsidRPr="008610BE">
        <w:rPr>
          <w:rtl/>
        </w:rPr>
        <w:t>: مدى إلزامية محاولة الصلح</w:t>
      </w:r>
      <w:bookmarkEnd w:id="79"/>
    </w:p>
    <w:p w:rsidR="00C57BE2" w:rsidRPr="008610BE" w:rsidRDefault="00C57BE2" w:rsidP="008A5D2D">
      <w:pPr>
        <w:spacing w:after="0" w:line="360" w:lineRule="auto"/>
        <w:ind w:firstLine="566"/>
        <w:jc w:val="both"/>
        <w:rPr>
          <w:rtl/>
        </w:rPr>
      </w:pPr>
      <w:r w:rsidRPr="008610BE">
        <w:rPr>
          <w:rtl/>
        </w:rPr>
        <w:t xml:space="preserve">كان قانون الإجراءات المدنية والمطبق بشأن إلزامية محاولة الصلح لكن بعد صدور قانون الأسرة سنة 1984 أصبح هو الذي يحكم محاولة الصلح بين الطرفين وكذلك في تعديل 2005 نص المشرع على محاولة الصلح في حالة الطلاق، وتتم من طرف القاضي وبدون أن تتجاوز مدتها ثلاثة أشهر، حيث جاء في نص المادة 49/01 </w:t>
      </w:r>
      <w:proofErr w:type="spellStart"/>
      <w:r w:rsidRPr="008610BE">
        <w:rPr>
          <w:rtl/>
        </w:rPr>
        <w:t>مايلي</w:t>
      </w:r>
      <w:proofErr w:type="spellEnd"/>
      <w:r w:rsidRPr="008610BE">
        <w:rPr>
          <w:rtl/>
        </w:rPr>
        <w:t xml:space="preserve">: "لا يثبت الطلاق إلا بحكم بعد عدة محاولات صلح يجريها القاضي دون أن تتجاوز مدته ثلاثة أشهر </w:t>
      </w:r>
      <w:proofErr w:type="spellStart"/>
      <w:r w:rsidRPr="008610BE">
        <w:rPr>
          <w:rtl/>
        </w:rPr>
        <w:t>ابتداءاً</w:t>
      </w:r>
      <w:proofErr w:type="spellEnd"/>
      <w:r w:rsidRPr="008610BE">
        <w:rPr>
          <w:rtl/>
        </w:rPr>
        <w:t xml:space="preserve"> من تاريخ رفع الدعوى".</w:t>
      </w:r>
    </w:p>
    <w:p w:rsidR="00C57BE2" w:rsidRPr="008610BE" w:rsidRDefault="00C57BE2" w:rsidP="008A5D2D">
      <w:pPr>
        <w:spacing w:after="0" w:line="360" w:lineRule="auto"/>
        <w:ind w:firstLine="566"/>
        <w:jc w:val="both"/>
        <w:rPr>
          <w:rtl/>
        </w:rPr>
      </w:pPr>
      <w:r w:rsidRPr="008610BE">
        <w:rPr>
          <w:rtl/>
        </w:rPr>
        <w:lastRenderedPageBreak/>
        <w:t>فالمشرع لم يتعرض مطلقاً وبصورة مباشرة لإلزامية محاولة الصلح في الطلاق، فالظاهر أنه لا طلاق إلا إذا صدر حكم من القضاء بعد محاولة الصلح، فدل على إجبارية محاولة الصلح ولكن بطريقة الدلالة لا غير</w:t>
      </w:r>
      <w:r w:rsidRPr="008610BE">
        <w:rPr>
          <w:rStyle w:val="Appelnotedebasdep"/>
          <w:rtl/>
        </w:rPr>
        <w:footnoteReference w:id="109"/>
      </w:r>
      <w:r w:rsidRPr="008610BE">
        <w:rPr>
          <w:rtl/>
        </w:rPr>
        <w:t>.</w:t>
      </w:r>
    </w:p>
    <w:p w:rsidR="00C57BE2" w:rsidRPr="008610BE" w:rsidRDefault="00C57BE2" w:rsidP="008A5D2D">
      <w:pPr>
        <w:spacing w:after="0" w:line="360" w:lineRule="auto"/>
        <w:ind w:firstLine="566"/>
        <w:jc w:val="both"/>
        <w:rPr>
          <w:rtl/>
        </w:rPr>
      </w:pPr>
      <w:r w:rsidRPr="008610BE">
        <w:rPr>
          <w:rtl/>
        </w:rPr>
        <w:t xml:space="preserve">إذ أنه كان على المشرع النص صراحة على إلزاميتها بالنظر لأهميتها الكبيرة ولما لها من وقع نفسي وحسي على الزوجين وهما يتقابلان أمام </w:t>
      </w:r>
      <w:proofErr w:type="spellStart"/>
      <w:r w:rsidRPr="008610BE">
        <w:rPr>
          <w:rtl/>
        </w:rPr>
        <w:t>القاضي،وبذلك</w:t>
      </w:r>
      <w:proofErr w:type="spellEnd"/>
      <w:r w:rsidRPr="008610BE">
        <w:rPr>
          <w:rtl/>
        </w:rPr>
        <w:t xml:space="preserve"> أصبحت محاولة الصلح إجراء إجباريا على القاضي مراعاته والقيام به قبل النطق بالحكم، وإذا لم بقم بهذا الإجراء كان الحكم باطلاً، فهو إجراء إجباري وملزم للقاضي قبل أن يصدر حكمه بفك الرابطة الزوجية، غير أنه وبالرجوع إلى الواقع العملي في مجال قضايا الأحوال الشخصية وخصوصاً دعاوى الطلاق نجد وللأسف الشديد كثيراً من المحاكم والقضاة لا يعيرون محاولات الصلح بين الزوجين أهمية كبيرة علها تصل إلى التراجع عن طلب فك الرابطة الزوجية، فمن القضاة من يعتبر إجراء محاولة الصلح قبل الحكم بالطلاق مجرد إجراء شكلي فقط وجب استيفاءه حتى لا يتعرض حكمه للنقض من هذه الناحية، فلا يكلف نفسه عناء الاجتهاد في الصلح بين الزوجين، والدليل على ذلك أن الإجراءات المتبعة لانعقاد جلسة الصلح في كثير من المحاكم وعند بعض القضاة في الواقع العملي إجراءات غير سليمة كونها تنعقد بعد تمكين الأطراف من تبادل مذكراتهم في الموضوع قبل عقدها</w:t>
      </w:r>
      <w:r w:rsidRPr="008610BE">
        <w:rPr>
          <w:rStyle w:val="Appelnotedebasdep"/>
          <w:rtl/>
        </w:rPr>
        <w:footnoteReference w:id="110"/>
      </w:r>
      <w:r w:rsidRPr="008610BE">
        <w:rPr>
          <w:rtl/>
        </w:rPr>
        <w:t xml:space="preserve">، فلو كان الحرص على تفادي حل عقدة النكاح لكان عرض الصلح بين الزوجين أول الأمور التي </w:t>
      </w:r>
      <w:r w:rsidRPr="008610BE">
        <w:rPr>
          <w:rtl/>
        </w:rPr>
        <w:lastRenderedPageBreak/>
        <w:t xml:space="preserve">يعرضها القاضي ويبدأ بها، أما المحكمة العليا فنجدها تارة تأكد على إلزامية محاولة الصلح وتارة </w:t>
      </w:r>
      <w:proofErr w:type="spellStart"/>
      <w:r w:rsidRPr="008610BE">
        <w:rPr>
          <w:rtl/>
        </w:rPr>
        <w:t>لاتعتبرها</w:t>
      </w:r>
      <w:proofErr w:type="spellEnd"/>
      <w:r w:rsidRPr="008610BE">
        <w:rPr>
          <w:rtl/>
        </w:rPr>
        <w:t xml:space="preserve"> سوى إجراء شكليا غير جوهري غير أننا نلاحظ أن موقف المحكمة العليا غير صائب مع مطابقة نص المادة 49 من قانون الأسرة والأهداف المتوخاة من تقرير جلسة الصلح بين الزوجين، قبل الحكم بالطلاق بينهما ولأن الثابت أن محاولة الصلح أصبحت </w:t>
      </w:r>
      <w:proofErr w:type="spellStart"/>
      <w:r w:rsidRPr="008610BE">
        <w:rPr>
          <w:rtl/>
        </w:rPr>
        <w:t>إجراءاً</w:t>
      </w:r>
      <w:proofErr w:type="spellEnd"/>
      <w:r w:rsidRPr="008610BE">
        <w:rPr>
          <w:rtl/>
        </w:rPr>
        <w:t xml:space="preserve"> إجبارياً في دعاوى الطلاق يجب على القاضي القيام به قبل الفصل في موضوع الدعوى، وإذا لم يتم هذا كان الحكم الصادر بالطلاق باطلاً</w:t>
      </w:r>
      <w:r w:rsidRPr="008610BE">
        <w:rPr>
          <w:rStyle w:val="Appelnotedebasdep"/>
          <w:rtl/>
        </w:rPr>
        <w:footnoteReference w:id="111"/>
      </w:r>
      <w:r w:rsidRPr="008610BE">
        <w:rPr>
          <w:rtl/>
        </w:rPr>
        <w:t>.</w:t>
      </w:r>
    </w:p>
    <w:p w:rsidR="00C57BE2" w:rsidRPr="008610BE" w:rsidRDefault="00C57BE2" w:rsidP="008A5D2D">
      <w:pPr>
        <w:spacing w:after="0" w:line="360" w:lineRule="auto"/>
        <w:ind w:firstLine="566"/>
        <w:jc w:val="both"/>
        <w:rPr>
          <w:rtl/>
        </w:rPr>
      </w:pPr>
      <w:r w:rsidRPr="008610BE">
        <w:rPr>
          <w:rtl/>
        </w:rPr>
        <w:t>فتعتبر محاولة الصلح إجراء إلزاميا من النظام العام، (بنص المادة 439 اجراءات) غير أننا نلاحظ أنه وبخصوص بعض الحالات تصبح محاولة الصلح في دعاوى الطلاق غير ذات أهمية أو غير ضرورية فتصبح إجراء غير جوهري بالنظر لوقائع بعض الحالات التي من بينها كما قال الأستاذ عبد العزيز سعد حالة ما إذا اتفق الزوجان على الطلاق بينهما وكل ما يتعلق بذلك، وحالة ما إذا أعلن أحد الزوجين بشكل صريح رفضه المطلق لمبدأ الصلح</w:t>
      </w:r>
      <w:r w:rsidRPr="008610BE">
        <w:rPr>
          <w:rStyle w:val="Appelnotedebasdep"/>
          <w:rtl/>
        </w:rPr>
        <w:footnoteReference w:id="112"/>
      </w:r>
      <w:r w:rsidRPr="008610BE">
        <w:rPr>
          <w:rtl/>
        </w:rPr>
        <w:t>.</w:t>
      </w:r>
    </w:p>
    <w:p w:rsidR="00C57BE2" w:rsidRPr="008610BE" w:rsidRDefault="00C57BE2" w:rsidP="008A5D2D">
      <w:pPr>
        <w:spacing w:after="0" w:line="360" w:lineRule="auto"/>
        <w:ind w:firstLine="567"/>
        <w:jc w:val="both"/>
        <w:outlineLvl w:val="1"/>
        <w:rPr>
          <w:rtl/>
        </w:rPr>
      </w:pPr>
      <w:bookmarkStart w:id="80" w:name="_Toc461013649"/>
      <w:r w:rsidRPr="008610BE">
        <w:rPr>
          <w:b/>
          <w:bCs/>
          <w:rtl/>
        </w:rPr>
        <w:t>المطلب الخامس</w:t>
      </w:r>
      <w:r w:rsidRPr="008610BE">
        <w:rPr>
          <w:rtl/>
        </w:rPr>
        <w:t>: آثار محاولة الصلح</w:t>
      </w:r>
      <w:bookmarkEnd w:id="80"/>
    </w:p>
    <w:p w:rsidR="00C57BE2" w:rsidRPr="008610BE" w:rsidRDefault="00C57BE2" w:rsidP="008A5D2D">
      <w:pPr>
        <w:spacing w:after="0" w:line="360" w:lineRule="auto"/>
        <w:ind w:firstLine="566"/>
        <w:jc w:val="both"/>
        <w:rPr>
          <w:rtl/>
        </w:rPr>
      </w:pPr>
      <w:r w:rsidRPr="008610BE">
        <w:rPr>
          <w:rtl/>
        </w:rPr>
        <w:t xml:space="preserve">محاولة القاضي الصلح بين الزوجين في دعوى الطلاق تكون بعقد جلسة سرية خاصة وهذه الجلسة والمحاولة فيها إما أن تتكلل بالنجاح وبالتالي تفادي حل عقدة النكاح، وإما ألا يصل القاضي للصلح بين الزوجين وبذلك يكون للقاضي دور آخر ولمحاولة الصلح أثر </w:t>
      </w:r>
      <w:r w:rsidRPr="008610BE">
        <w:rPr>
          <w:rtl/>
        </w:rPr>
        <w:lastRenderedPageBreak/>
        <w:t xml:space="preserve">مغاير أيضاً فعند نجاح محاولة الصلح بين الزوجين تكون للصلح آثار تمس دعوى الطلاق، وعند ذلك يكون للمحكمة دور في إثبات هذا الصلح، أما تدخل القاضي للصلح بين الزوجين في دعوى الطلاق لم يكن إلا بعد فشل الحكمان في الوصول إلى الصلح بين الزوجين،  فنجاح القاضي في هذا المسعى وتوصله إلى إقناع الزوجين في التراجع عن ذلك وعقد الصلح بينهما هي النتيجة والغاية المتوخاة من تشريع محاولات الصلح قبل الحكم بالطلاق، فتصبح دعوى الطلاق بغير موضوع وهذا لتصالح الزوجين وتراجعهما عن طلب فك عقدة النكاح، لكن بالرغم من هذا فهناك من يرى بأن عملية الصلح بين الزوجين ينبغي أن يتدخل المشرع وينظم أحكامها بخصوص النتائج </w:t>
      </w:r>
      <w:proofErr w:type="spellStart"/>
      <w:r w:rsidRPr="008610BE">
        <w:rPr>
          <w:rtl/>
        </w:rPr>
        <w:t>المتوصل</w:t>
      </w:r>
      <w:proofErr w:type="spellEnd"/>
      <w:r w:rsidRPr="008610BE">
        <w:rPr>
          <w:rtl/>
        </w:rPr>
        <w:t xml:space="preserve"> إليها وبحجيتها وذلك حتى لا تعتبر محاولة الصلح مجرد شكل فقط وحتى لا تفرغ من محتواها من أجل بلوغ الأهداف المتوخاة</w:t>
      </w:r>
      <w:r w:rsidRPr="008610BE">
        <w:rPr>
          <w:rStyle w:val="Appelnotedebasdep"/>
          <w:rtl/>
        </w:rPr>
        <w:footnoteReference w:id="113"/>
      </w:r>
      <w:r w:rsidRPr="008610BE">
        <w:rPr>
          <w:rtl/>
        </w:rPr>
        <w:t>.</w:t>
      </w:r>
    </w:p>
    <w:p w:rsidR="00C57BE2" w:rsidRPr="008610BE" w:rsidRDefault="00C57BE2" w:rsidP="008A5D2D">
      <w:pPr>
        <w:spacing w:after="0" w:line="360" w:lineRule="auto"/>
        <w:ind w:firstLine="566"/>
        <w:jc w:val="both"/>
        <w:rPr>
          <w:rtl/>
        </w:rPr>
      </w:pPr>
      <w:r w:rsidRPr="008610BE">
        <w:rPr>
          <w:rtl/>
        </w:rPr>
        <w:t>فإذا حقق القاضي المسعى اللازم وأصلح بين الزوجين لابد على المحكمة أن تلتزم بإثبات ذلك، لأن حق المحكمة في إثبات الصلح الذي توصل إليه الطرفان، بل يعد التزاما على عاتقها</w:t>
      </w:r>
      <w:r w:rsidRPr="008610BE">
        <w:rPr>
          <w:rStyle w:val="Appelnotedebasdep"/>
          <w:rtl/>
        </w:rPr>
        <w:footnoteReference w:id="114"/>
      </w:r>
      <w:r w:rsidRPr="008610BE">
        <w:rPr>
          <w:rtl/>
        </w:rPr>
        <w:t>.</w:t>
      </w:r>
    </w:p>
    <w:p w:rsidR="00C57BE2" w:rsidRPr="008610BE" w:rsidRDefault="00C57BE2" w:rsidP="00205FA4">
      <w:pPr>
        <w:spacing w:after="0" w:line="336" w:lineRule="auto"/>
        <w:ind w:firstLine="567"/>
        <w:jc w:val="both"/>
        <w:rPr>
          <w:rtl/>
        </w:rPr>
      </w:pPr>
      <w:r w:rsidRPr="008610BE">
        <w:rPr>
          <w:rtl/>
        </w:rPr>
        <w:t xml:space="preserve">فبالصلح تنقضي النزاعات التي يتناولها وتسقط الادعاءات التي تنازل عنها المتصالح بصفة نهائية، فلم يعد أمام المحكمة سوى الفصل في دعوى الطلاق المرفوعة أمامها وفقاً لما تم التصالح عليه والتراجع عن الطلبات التي تناولها، فالقاضي عند قيام محاولة الصلح </w:t>
      </w:r>
      <w:r w:rsidRPr="008610BE">
        <w:rPr>
          <w:rtl/>
        </w:rPr>
        <w:lastRenderedPageBreak/>
        <w:t>يحرر محضراً بذلك وبالشكل الذي يورده القانون وعليه أيضاً استدعاء الزوجين في جلسة رسمية ليؤكدا له علانية ما سبق أن تصالحا عليه وليصدر حكمه في الموضوع، إلا أنه قد تتكلل مساعي الصلح التي يبذلها القاضي بالفشل لسبب أو لآخر فمنها إما لأن القاضي لم يبذل الجهد الكافي في ذلك نظراً لاعتبارها مجرد إجراء شكلي فقط، وكذلك لفشل الصلح من طرف القاضي إلى كثرة القضايا المطروحة أمامه خصوصاً قضايا الطلاق، مما يترتب عليه ضيق وقته بسبب انتقاله في دراسة قضايا أخرى والبحث لها عن حلول قانونية، كما أنه يمكن أن يكون القاضي قد بذل جهداً لإصلاح ذات البين إلا أنه أمام إصرار الزوج أو الزوجة أو كليهما معاً على فك عقدة النكاح بينهما، فلا يجد القاضي بداً من التصدي لموضوعهما، فإنه بفشل محاولات الصلح بين الزوجين طول المدة المقررة لذلك ليس في وسع القاضي سوى تحرير محضر عدم الصلح يبين فيه مساعي الصلح ونتائج محاولات ذلك يوقعه مع كاتب الضبط والزوجين، وهذا ما نص عليه المشرع في المادة 49/02 من قانون الأسرة، ثم النظر في موضوع الدعوى والاستجابة إما لطلب الزوج إن كان هو طالب الطلاق بإرادته وإما إجابة الزوجة لطلبها التطليق بعد أن تثبت بالدليل سبب ذلك وجديته، أو الاستجابة لطلبها الخلع، إلا أنه يعتبر باب الصلح دائماً يكون مفتوحاً للزوجين قبل الحكم بفك الرابطة الزوجية وقبل النطق بالحكم، وعليه يمكنهما دائماً وخلال جميع مراحل دعوى الطلاق أن يتصالحا ويعرضا صلحهما على القاضي</w:t>
      </w:r>
      <w:r w:rsidR="00205FA4" w:rsidRPr="008610BE">
        <w:rPr>
          <w:rStyle w:val="Appelnotedebasdep"/>
          <w:rtl/>
        </w:rPr>
        <w:footnoteReference w:id="115"/>
      </w:r>
      <w:r w:rsidRPr="008610BE">
        <w:rPr>
          <w:rtl/>
        </w:rPr>
        <w:t xml:space="preserve">، فإذا قدما الزوجين طلباً بترك الخصومة والتصالح فعلى المحكمة أن تراعي ذلك، فهي ملزمة بالأخذ بعين الاعتبار بهذا </w:t>
      </w:r>
      <w:r w:rsidRPr="008610BE">
        <w:rPr>
          <w:rtl/>
        </w:rPr>
        <w:lastRenderedPageBreak/>
        <w:t>الطلب وبذلك يمكن تفادي فك الرابطة الزوجية، علماً أنه يجب مراعاة ما إذا كان الطلاق قد وقع شرعاً أم لا، وعندما يفشل القاضي في محاولات الصلح بين الزوجين يكون مجبراً على التصدي لدعوى الطلاق والفصل في موضوعها على الوجه الشرعي والقانوني بالإضافة إلى ذلك يجب على المشرع ضرورة تدعيم قضاة الأحوال بمختصين في مجال شؤون الأسرة ومشاكلها حتى يقدموا المساعدة على فهم مشاكل الأسرة وحلها.</w:t>
      </w:r>
    </w:p>
    <w:p w:rsidR="00C57BE2" w:rsidRPr="008610BE" w:rsidRDefault="00C57BE2" w:rsidP="008A5D2D">
      <w:pPr>
        <w:spacing w:after="0" w:line="360" w:lineRule="auto"/>
        <w:ind w:firstLine="567"/>
        <w:jc w:val="both"/>
        <w:outlineLvl w:val="0"/>
        <w:rPr>
          <w:rtl/>
        </w:rPr>
      </w:pPr>
      <w:bookmarkStart w:id="81" w:name="_Toc461013650"/>
      <w:r w:rsidRPr="008610BE">
        <w:rPr>
          <w:b/>
          <w:bCs/>
          <w:rtl/>
        </w:rPr>
        <w:t>المبحث الثالث</w:t>
      </w:r>
      <w:r w:rsidRPr="008610BE">
        <w:rPr>
          <w:rtl/>
        </w:rPr>
        <w:t>: الصلح عند نشوز أحد الزوجين</w:t>
      </w:r>
      <w:bookmarkEnd w:id="81"/>
    </w:p>
    <w:p w:rsidR="00C57BE2" w:rsidRPr="008610BE" w:rsidRDefault="00C57BE2" w:rsidP="008A5D2D">
      <w:pPr>
        <w:spacing w:after="0" w:line="360" w:lineRule="auto"/>
        <w:ind w:firstLine="567"/>
        <w:jc w:val="both"/>
        <w:rPr>
          <w:rtl/>
        </w:rPr>
      </w:pPr>
      <w:r w:rsidRPr="008610BE">
        <w:rPr>
          <w:rtl/>
        </w:rPr>
        <w:t>النشوز هو إخلال أحد الزوجين بإحدى واجباته اتجاه الزوج الآخر أو مساس أحدهما بحقوق الآخر، فهو كراهية كل منهما لصاحبه.</w:t>
      </w:r>
    </w:p>
    <w:p w:rsidR="00C57BE2" w:rsidRPr="008610BE" w:rsidRDefault="00C57BE2" w:rsidP="008A5D2D">
      <w:pPr>
        <w:spacing w:after="0" w:line="360" w:lineRule="auto"/>
        <w:ind w:firstLine="567"/>
        <w:jc w:val="both"/>
        <w:rPr>
          <w:rtl/>
        </w:rPr>
      </w:pPr>
      <w:r w:rsidRPr="008610BE">
        <w:rPr>
          <w:rtl/>
        </w:rPr>
        <w:t>لكن يمكن أن يكون النشوز من الجانبين أي الزوج والزوجة، فنشوز الرجل يتمثل في تركه لبيت الزوجية من غير مبرر شرعي وظلمه لزوجته، أما نشوز الزوجة فيتمثل في عدم طاعتها لزوجها والإصرار على معصيته، وقد ورد حكم النشوز في القرآن الكريم في الجانبين حيث قال تعالى: "وَإِنِ امْرَأَةٌ خَافَتْ مِن بَعْلِهَا نُشُوزاً أَوْ إِعْرَاضاً فَلاَ جُنَاْحَ عَلَيْهِمَا أَن يُصْلِحَا بَيْنَهُمَا صُلْحاً وَالصُّلْحُ خَيْرٌ وَأُحْضِرَتِ الأَنفُسُ الشُّحَّ وَإِن تُحْسِنُواْ وَتَتَّقُواْ فَإِنَّ اللّهَ كَانَ بِمَا تَعْمَلُونَ خَبِيراً"</w:t>
      </w:r>
      <w:r w:rsidRPr="008610BE">
        <w:rPr>
          <w:rStyle w:val="Appelnotedebasdep"/>
          <w:rtl/>
        </w:rPr>
        <w:footnoteReference w:id="116"/>
      </w:r>
      <w:r w:rsidRPr="008610BE">
        <w:rPr>
          <w:rtl/>
        </w:rPr>
        <w:t>.</w:t>
      </w:r>
    </w:p>
    <w:p w:rsidR="00C57BE2" w:rsidRPr="008610BE" w:rsidRDefault="00C57BE2" w:rsidP="008A5D2D">
      <w:pPr>
        <w:spacing w:after="0" w:line="360" w:lineRule="auto"/>
        <w:ind w:firstLine="567"/>
        <w:jc w:val="both"/>
        <w:rPr>
          <w:rtl/>
        </w:rPr>
      </w:pPr>
      <w:r w:rsidRPr="008610BE">
        <w:rPr>
          <w:rtl/>
        </w:rPr>
        <w:t>وقوله تعالى: "وَاللاتِي تَخَافُونَ نُشُوزَهُنَّ فَعِظُوهُنَّ وَاهْجُرُوهُنَّ فِي الْمَضَاجِعِ وَاضْرِبُوهُنَّ فَإِنْ أَطَعْنَكُمْ فَلا تَبْغُوا عَلَيْهِنَّ سَبِيلا إِنَّ اللَّهَ كَانَ عَلِيًّا كَبِيرًا"</w:t>
      </w:r>
      <w:r w:rsidRPr="008610BE">
        <w:rPr>
          <w:rStyle w:val="Appelnotedebasdep"/>
          <w:rtl/>
        </w:rPr>
        <w:footnoteReference w:id="117"/>
      </w:r>
      <w:r w:rsidRPr="008610BE">
        <w:rPr>
          <w:rtl/>
        </w:rPr>
        <w:t>.</w:t>
      </w:r>
    </w:p>
    <w:p w:rsidR="00C57BE2" w:rsidRPr="008610BE" w:rsidRDefault="00C57BE2" w:rsidP="008A5D2D">
      <w:pPr>
        <w:spacing w:after="0" w:line="360" w:lineRule="auto"/>
        <w:ind w:firstLine="567"/>
        <w:jc w:val="both"/>
        <w:rPr>
          <w:rtl/>
        </w:rPr>
      </w:pPr>
      <w:r w:rsidRPr="008610BE">
        <w:rPr>
          <w:rtl/>
        </w:rPr>
        <w:lastRenderedPageBreak/>
        <w:t>وهذا ما سيأتي تبيانه في هذا المبحث.</w:t>
      </w:r>
    </w:p>
    <w:p w:rsidR="00C57BE2" w:rsidRPr="008610BE" w:rsidRDefault="00C57BE2" w:rsidP="008A5D2D">
      <w:pPr>
        <w:spacing w:after="0" w:line="360" w:lineRule="auto"/>
        <w:ind w:firstLine="567"/>
        <w:jc w:val="both"/>
        <w:outlineLvl w:val="1"/>
        <w:rPr>
          <w:rtl/>
        </w:rPr>
      </w:pPr>
      <w:bookmarkStart w:id="82" w:name="_Toc461013651"/>
      <w:r w:rsidRPr="008610BE">
        <w:rPr>
          <w:b/>
          <w:bCs/>
          <w:rtl/>
        </w:rPr>
        <w:t>المطلب الأول</w:t>
      </w:r>
      <w:r w:rsidRPr="008610BE">
        <w:rPr>
          <w:rtl/>
        </w:rPr>
        <w:t>: حالات النشوز</w:t>
      </w:r>
      <w:bookmarkEnd w:id="82"/>
    </w:p>
    <w:p w:rsidR="00C57BE2" w:rsidRPr="008610BE" w:rsidRDefault="00C57BE2" w:rsidP="008A5D2D">
      <w:pPr>
        <w:spacing w:after="0" w:line="360" w:lineRule="auto"/>
        <w:ind w:firstLine="566"/>
        <w:jc w:val="both"/>
        <w:rPr>
          <w:rtl/>
        </w:rPr>
      </w:pPr>
      <w:r w:rsidRPr="008610BE">
        <w:rPr>
          <w:rtl/>
        </w:rPr>
        <w:t xml:space="preserve">يعتبر النشوز تقصير أحد الزوجين بواجباته </w:t>
      </w:r>
      <w:proofErr w:type="spellStart"/>
      <w:r w:rsidRPr="008610BE">
        <w:rPr>
          <w:rtl/>
        </w:rPr>
        <w:t>إتجاه</w:t>
      </w:r>
      <w:proofErr w:type="spellEnd"/>
      <w:r w:rsidRPr="008610BE">
        <w:rPr>
          <w:rtl/>
        </w:rPr>
        <w:t xml:space="preserve"> الآخر لذا فإنه يكون من الطرفين أي الزوج أو الزوجة وهذا ما سنتناوله في هذا المطلب.</w:t>
      </w:r>
    </w:p>
    <w:p w:rsidR="00C57BE2" w:rsidRPr="008610BE" w:rsidRDefault="00C57BE2" w:rsidP="008A5D2D">
      <w:pPr>
        <w:spacing w:after="0" w:line="360" w:lineRule="auto"/>
        <w:ind w:firstLine="567"/>
        <w:jc w:val="both"/>
        <w:outlineLvl w:val="2"/>
        <w:rPr>
          <w:rtl/>
        </w:rPr>
      </w:pPr>
      <w:bookmarkStart w:id="83" w:name="_Toc461013652"/>
      <w:r w:rsidRPr="008610BE">
        <w:rPr>
          <w:b/>
          <w:bCs/>
          <w:rtl/>
        </w:rPr>
        <w:t>الفرع الأول</w:t>
      </w:r>
      <w:r>
        <w:rPr>
          <w:rtl/>
        </w:rPr>
        <w:t>: حالات نشوز الزوج</w:t>
      </w:r>
      <w:bookmarkEnd w:id="83"/>
    </w:p>
    <w:p w:rsidR="00C57BE2" w:rsidRPr="008610BE" w:rsidRDefault="00C57BE2" w:rsidP="008A5D2D">
      <w:pPr>
        <w:spacing w:after="0" w:line="360" w:lineRule="auto"/>
        <w:ind w:firstLine="567"/>
        <w:jc w:val="both"/>
        <w:rPr>
          <w:rtl/>
        </w:rPr>
      </w:pPr>
      <w:r w:rsidRPr="008610BE">
        <w:rPr>
          <w:rtl/>
        </w:rPr>
        <w:t>إن الزوج بصفته طرفاً في عقد الزواج وعليه واجبات ملقاة على عاتقه، فيكون عند إخلاله بأحد تلك الواجبات أو الالتزامات في حالة نشوز.</w:t>
      </w:r>
    </w:p>
    <w:p w:rsidR="00C57BE2" w:rsidRPr="008610BE" w:rsidRDefault="00C57BE2" w:rsidP="008A5D2D">
      <w:pPr>
        <w:spacing w:after="0" w:line="360" w:lineRule="auto"/>
        <w:ind w:firstLine="567"/>
        <w:jc w:val="both"/>
        <w:rPr>
          <w:rtl/>
        </w:rPr>
      </w:pPr>
      <w:r w:rsidRPr="008610BE">
        <w:rPr>
          <w:rtl/>
        </w:rPr>
        <w:t xml:space="preserve">فنشوز الزوج هو تعاليه عن زوجته وإعراضه عنها بوجهه أو نفسه أو البخل عليها بشيء من حقوقها أو الإخلال بإحدى واجباته </w:t>
      </w:r>
      <w:proofErr w:type="spellStart"/>
      <w:r w:rsidRPr="008610BE">
        <w:rPr>
          <w:rtl/>
        </w:rPr>
        <w:t>سواءاً</w:t>
      </w:r>
      <w:proofErr w:type="spellEnd"/>
      <w:r w:rsidRPr="008610BE">
        <w:rPr>
          <w:rtl/>
        </w:rPr>
        <w:t xml:space="preserve"> كانت مادية أو معنوية، فمن حالات نشوز الزوج </w:t>
      </w:r>
      <w:proofErr w:type="spellStart"/>
      <w:r w:rsidRPr="008610BE">
        <w:rPr>
          <w:rtl/>
        </w:rPr>
        <w:t>مايلي</w:t>
      </w:r>
      <w:proofErr w:type="spellEnd"/>
      <w:r w:rsidRPr="008610BE">
        <w:rPr>
          <w:rtl/>
        </w:rPr>
        <w:t>:</w:t>
      </w:r>
    </w:p>
    <w:p w:rsidR="00C57BE2" w:rsidRPr="008610BE" w:rsidRDefault="00C57BE2" w:rsidP="008A5D2D">
      <w:pPr>
        <w:spacing w:after="0" w:line="360" w:lineRule="auto"/>
        <w:ind w:firstLine="567"/>
        <w:jc w:val="both"/>
        <w:rPr>
          <w:rtl/>
        </w:rPr>
      </w:pPr>
      <w:r w:rsidRPr="008610BE">
        <w:rPr>
          <w:rtl/>
        </w:rPr>
        <w:t>أولا-</w:t>
      </w:r>
      <w:r w:rsidRPr="008610BE">
        <w:rPr>
          <w:b/>
          <w:bCs/>
          <w:rtl/>
        </w:rPr>
        <w:t>الواجبات المادية</w:t>
      </w:r>
      <w:r w:rsidRPr="008610BE">
        <w:rPr>
          <w:rtl/>
        </w:rPr>
        <w:t xml:space="preserve">: </w:t>
      </w:r>
    </w:p>
    <w:p w:rsidR="00C57BE2" w:rsidRPr="00205FA4" w:rsidRDefault="00C57BE2" w:rsidP="00205FA4">
      <w:pPr>
        <w:spacing w:after="0" w:line="360" w:lineRule="auto"/>
        <w:ind w:firstLine="567"/>
        <w:jc w:val="both"/>
        <w:rPr>
          <w:sz w:val="30"/>
          <w:szCs w:val="30"/>
          <w:rtl/>
        </w:rPr>
      </w:pPr>
      <w:r w:rsidRPr="00205FA4">
        <w:rPr>
          <w:sz w:val="30"/>
          <w:szCs w:val="30"/>
          <w:rtl/>
        </w:rPr>
        <w:t>الامتناع عن الإنفاق: يعد الزوج ناشزاً في حالة ما إذا امتنع عن الإنفاق مالياً كتوفير الأكل والكسوة والعلاج لزوجته ولأولاده عند قيام العلاقة الزوجية حتى ولو كان سبب امتناعه هو كفاية زوجته وغناها أو عملها، بل الحالة الوحيدة التي يكون فيها الزوج محقاً في عدم الانفاق هي عدم تمكنه من الاستمتاع بزوجته أي عدم توفر شرط الاحتباس</w:t>
      </w:r>
      <w:r w:rsidR="00205FA4" w:rsidRPr="00205FA4">
        <w:rPr>
          <w:sz w:val="30"/>
          <w:szCs w:val="30"/>
          <w:rtl/>
        </w:rPr>
        <w:t xml:space="preserve"> </w:t>
      </w:r>
      <w:r w:rsidRPr="00205FA4">
        <w:rPr>
          <w:sz w:val="30"/>
          <w:szCs w:val="30"/>
          <w:rtl/>
        </w:rPr>
        <w:t>، فإن الزوج لا يمكن أن يعتبرها ناشزاً لأن هذا في حقها وإن النفقة واجبة عليه، وبامتناعه عن الإنفاق فيكون حينئذ ناشزاً</w:t>
      </w:r>
      <w:r w:rsidRPr="00205FA4">
        <w:rPr>
          <w:rStyle w:val="Appelnotedebasdep"/>
          <w:sz w:val="30"/>
          <w:szCs w:val="30"/>
          <w:rtl/>
        </w:rPr>
        <w:footnoteReference w:id="118"/>
      </w:r>
      <w:r w:rsidRPr="00205FA4">
        <w:rPr>
          <w:sz w:val="30"/>
          <w:szCs w:val="30"/>
          <w:rtl/>
        </w:rPr>
        <w:t>.</w:t>
      </w:r>
    </w:p>
    <w:p w:rsidR="00C57BE2" w:rsidRPr="008610BE" w:rsidRDefault="00C57BE2" w:rsidP="008A5D2D">
      <w:pPr>
        <w:spacing w:after="0" w:line="360" w:lineRule="auto"/>
        <w:ind w:firstLine="567"/>
        <w:jc w:val="both"/>
        <w:rPr>
          <w:rtl/>
        </w:rPr>
      </w:pPr>
      <w:r w:rsidRPr="008610BE">
        <w:rPr>
          <w:rtl/>
        </w:rPr>
        <w:lastRenderedPageBreak/>
        <w:t xml:space="preserve">1-عدم دفع الصداق: بما أن المهر يعد ركناً من أركان عقد الزواج، فلا يجوز التهرب وتركه لقوله تعالى: "وَآتُواْ النَّسَاء صَدُقَاتِهِنَّ نِحْلَةً فَإِن طِبْنَ لَكُمْ عَن شَيْءٍ مِّنْهُ نَفْساً </w:t>
      </w:r>
      <w:proofErr w:type="spellStart"/>
      <w:r w:rsidRPr="008610BE">
        <w:rPr>
          <w:rtl/>
        </w:rPr>
        <w:t>فَكُلُوهُ</w:t>
      </w:r>
      <w:proofErr w:type="spellEnd"/>
      <w:r w:rsidRPr="008610BE">
        <w:rPr>
          <w:rtl/>
        </w:rPr>
        <w:t xml:space="preserve"> هَنِيئاً مَّرِيئاً"</w:t>
      </w:r>
      <w:r w:rsidRPr="008610BE">
        <w:rPr>
          <w:rStyle w:val="Appelnotedebasdep"/>
          <w:rtl/>
        </w:rPr>
        <w:footnoteReference w:id="119"/>
      </w:r>
      <w:r w:rsidRPr="008610BE">
        <w:rPr>
          <w:rtl/>
        </w:rPr>
        <w:t xml:space="preserve">، </w:t>
      </w:r>
    </w:p>
    <w:p w:rsidR="00C57BE2" w:rsidRPr="008610BE" w:rsidRDefault="00C57BE2" w:rsidP="008A5D2D">
      <w:pPr>
        <w:spacing w:after="0" w:line="360" w:lineRule="auto"/>
        <w:ind w:firstLine="567"/>
        <w:jc w:val="both"/>
        <w:rPr>
          <w:rtl/>
        </w:rPr>
      </w:pPr>
      <w:r w:rsidRPr="008610BE">
        <w:rPr>
          <w:rtl/>
        </w:rPr>
        <w:t>قد جاء في تفسير المنتخب لهاته الآية ما يلي:</w:t>
      </w:r>
    </w:p>
    <w:p w:rsidR="00C57BE2" w:rsidRPr="008610BE" w:rsidRDefault="00C57BE2" w:rsidP="008A5D2D">
      <w:pPr>
        <w:spacing w:after="0" w:line="360" w:lineRule="auto"/>
        <w:ind w:firstLine="567"/>
        <w:jc w:val="both"/>
        <w:rPr>
          <w:rtl/>
        </w:rPr>
      </w:pPr>
      <w:r w:rsidRPr="008610BE">
        <w:rPr>
          <w:rtl/>
        </w:rPr>
        <w:t xml:space="preserve">وأعطوا النساء مهورهن عطية خالصة، وليس لكم حق </w:t>
      </w:r>
      <w:proofErr w:type="spellStart"/>
      <w:r w:rsidRPr="008610BE">
        <w:rPr>
          <w:rtl/>
        </w:rPr>
        <w:t>فىشئ</w:t>
      </w:r>
      <w:proofErr w:type="spellEnd"/>
      <w:r w:rsidRPr="008610BE">
        <w:rPr>
          <w:rtl/>
        </w:rPr>
        <w:t xml:space="preserve"> من هذه المهور، فإن طابت نفوسهن بالنزول عن </w:t>
      </w:r>
      <w:proofErr w:type="spellStart"/>
      <w:r w:rsidRPr="008610BE">
        <w:rPr>
          <w:rtl/>
        </w:rPr>
        <w:t>شئ</w:t>
      </w:r>
      <w:proofErr w:type="spellEnd"/>
      <w:r w:rsidRPr="008610BE">
        <w:rPr>
          <w:rtl/>
        </w:rPr>
        <w:t xml:space="preserve"> من المهر فخذوه وانتفعوا به طيباً محمود العاقبة</w:t>
      </w:r>
      <w:r w:rsidRPr="008610BE">
        <w:rPr>
          <w:rStyle w:val="Appelnotedebasdep"/>
          <w:rtl/>
        </w:rPr>
        <w:footnoteReference w:id="120"/>
      </w:r>
      <w:r w:rsidRPr="008610BE">
        <w:rPr>
          <w:rtl/>
        </w:rPr>
        <w:t>.</w:t>
      </w:r>
    </w:p>
    <w:p w:rsidR="00C57BE2" w:rsidRPr="008610BE" w:rsidRDefault="00C57BE2" w:rsidP="008A5D2D">
      <w:pPr>
        <w:spacing w:after="0" w:line="360" w:lineRule="auto"/>
        <w:ind w:firstLine="567"/>
        <w:jc w:val="both"/>
        <w:rPr>
          <w:rtl/>
        </w:rPr>
      </w:pPr>
      <w:r w:rsidRPr="008610BE">
        <w:rPr>
          <w:rtl/>
        </w:rPr>
        <w:t xml:space="preserve"> فيعتبر الزوج ناشزاً إذا ما طلبت الزوجة صداقها في حالة نزاع بينها وبين زوجها وامتنع عن دفعه وإخلال الزوج عن واجباته بعدم دفع المهر يعد بذلك ناشزاً وعاص وليس نحو واجبه اتجاه زوجته فحسب بل لواجبه نحو الله سبحانه وتعالى كذلك، بل ذهب أكثر من ذلك فقد اعتبره زان ل</w:t>
      </w:r>
      <w:r>
        <w:rPr>
          <w:rtl/>
        </w:rPr>
        <w:t>قول الرسول (صلى الله عليه وسلم)</w:t>
      </w:r>
      <w:r w:rsidRPr="008610BE">
        <w:rPr>
          <w:rtl/>
        </w:rPr>
        <w:t>: "أيما رجل تزوج امرأة على ما قل من المهر أو كثر، ليس في نفسه أن يؤدي إليها حقها وخدعها فمات ولم يؤدي إليها حقها لقي الله يوم القيامة وهو زان"</w:t>
      </w:r>
      <w:r w:rsidRPr="008610BE">
        <w:rPr>
          <w:rStyle w:val="Appelnotedebasdep"/>
          <w:rtl/>
        </w:rPr>
        <w:footnoteReference w:id="121"/>
      </w:r>
      <w:r w:rsidRPr="008610BE">
        <w:rPr>
          <w:rtl/>
        </w:rPr>
        <w:t>.وفي هذه الحالة يمكن للزوجة أن تمتنع من الدخول إلا إذا دفع لها زوجها كامل صداقها</w:t>
      </w:r>
      <w:r w:rsidRPr="008610BE">
        <w:rPr>
          <w:rStyle w:val="Appelnotedebasdep"/>
          <w:rtl/>
        </w:rPr>
        <w:footnoteReference w:id="122"/>
      </w:r>
      <w:r w:rsidRPr="008610BE">
        <w:rPr>
          <w:rtl/>
        </w:rPr>
        <w:t>.</w:t>
      </w:r>
    </w:p>
    <w:p w:rsidR="00C57BE2" w:rsidRPr="008610BE" w:rsidRDefault="00C57BE2" w:rsidP="008A5D2D">
      <w:pPr>
        <w:spacing w:after="0" w:line="360" w:lineRule="auto"/>
        <w:ind w:firstLine="567"/>
        <w:jc w:val="both"/>
        <w:rPr>
          <w:rtl/>
        </w:rPr>
      </w:pPr>
      <w:r w:rsidRPr="008610BE">
        <w:rPr>
          <w:rtl/>
        </w:rPr>
        <w:lastRenderedPageBreak/>
        <w:t>2- الامتناع عن توفير سكن منفرد للزوجة خاصة إذا كان السكن الذي تقيم فيه الزوجة ألحق بها أضرار كعدم شمول لهذا السكن لكامل المرافق والأدوات اللازمة لشؤون السكن اللائق، أو أن الزوج جمعها هي وضرتها في مسكن واحد، أو أن الزوجة تقيم مع أهل الزوج وكانوا يؤذونها فعلاً وقولاً، مع العلم أن حالة الزوج المالية مناسبة</w:t>
      </w:r>
      <w:r w:rsidRPr="008610BE">
        <w:rPr>
          <w:rStyle w:val="Appelnotedebasdep"/>
          <w:rtl/>
        </w:rPr>
        <w:footnoteReference w:id="123"/>
      </w:r>
      <w:r w:rsidRPr="008610BE">
        <w:rPr>
          <w:rtl/>
        </w:rPr>
        <w:t xml:space="preserve">، وقد اعتبر المشرع الجزائري أن عدم توفير الزوج سكن منفرد لزوجته يعتبر ناشزاً وحكم بالتطليق للزوجة وتعويضها عن ذلك طبقاً لنص المادة 55 من قانون الأسرة. </w:t>
      </w:r>
    </w:p>
    <w:p w:rsidR="00C57BE2" w:rsidRPr="008610BE" w:rsidRDefault="00C57BE2" w:rsidP="008A5D2D">
      <w:pPr>
        <w:spacing w:after="0" w:line="360" w:lineRule="auto"/>
        <w:ind w:firstLine="567"/>
        <w:jc w:val="both"/>
        <w:rPr>
          <w:rtl/>
        </w:rPr>
      </w:pPr>
      <w:r w:rsidRPr="008610BE">
        <w:rPr>
          <w:rtl/>
        </w:rPr>
        <w:t>أما عن إخلاله لواجباته المعنوية كأن تجد الزوجة زوجها بدأ يحتقرها أو ينفر عنها فيهملها أو أحست أن زوجها يفكر في الزواج عليها وخشيت أن يعرض عنها إذا تم له زواج جديد وخافت أن يهجرها أو أن يعرض عنها بإقباله على زوجته الجديدة</w:t>
      </w:r>
      <w:r w:rsidRPr="008610BE">
        <w:rPr>
          <w:rStyle w:val="Appelnotedebasdep"/>
          <w:rtl/>
        </w:rPr>
        <w:footnoteReference w:id="124"/>
      </w:r>
      <w:r w:rsidRPr="008610BE">
        <w:rPr>
          <w:rtl/>
        </w:rPr>
        <w:t>.</w:t>
      </w:r>
    </w:p>
    <w:p w:rsidR="00C57BE2" w:rsidRPr="008610BE" w:rsidRDefault="00C57BE2" w:rsidP="008A5D2D">
      <w:pPr>
        <w:spacing w:after="0" w:line="360" w:lineRule="auto"/>
        <w:ind w:firstLine="567"/>
        <w:jc w:val="both"/>
        <w:rPr>
          <w:rtl/>
        </w:rPr>
      </w:pPr>
      <w:r w:rsidRPr="008610BE">
        <w:rPr>
          <w:rtl/>
        </w:rPr>
        <w:t>وقد اعتبر المشرع الجزائري في المادة 53/03 من قانون الأسرة أن الهجر في المضجع فوق أربعة أشهر سبباً واضحاً يجيز للزوجة أن تطلب التطليق في حال حصوله، وقد يؤول الزوج على نفسه أمام الله تعالى أو بصفة من صفاته على عدم مس زوجته وهجرها في المضجع لأربعة أشهر متتالية فصاعداً لقوله تعالى: "لِّلَّذِينَ يُؤْلُونَ مِن نِّسَآئِهِمْ تَرَبُّصُ أَرْبَعَةِ أَشْهُرٍ فَإِنْ فَآؤُوا فَإِنَّ اللّهَ غَفُورٌ رَّحِيمٌ، وَإِنْ عَزَمُواْ الطَّلاَقَ فَإِنَّ اللّهَ سَمِيعٌ عَلِيمٌ"</w:t>
      </w:r>
      <w:r w:rsidRPr="008610BE">
        <w:rPr>
          <w:rStyle w:val="Appelnotedebasdep"/>
          <w:rtl/>
        </w:rPr>
        <w:footnoteReference w:id="125"/>
      </w:r>
      <w:r w:rsidRPr="008610BE">
        <w:rPr>
          <w:rtl/>
        </w:rPr>
        <w:t>.</w:t>
      </w:r>
    </w:p>
    <w:p w:rsidR="00C57BE2" w:rsidRPr="008610BE" w:rsidRDefault="00C57BE2" w:rsidP="008A5D2D">
      <w:pPr>
        <w:spacing w:after="0" w:line="360" w:lineRule="auto"/>
        <w:ind w:firstLine="567"/>
        <w:jc w:val="both"/>
        <w:rPr>
          <w:rtl/>
        </w:rPr>
      </w:pPr>
      <w:r w:rsidRPr="008610BE">
        <w:rPr>
          <w:rtl/>
        </w:rPr>
        <w:lastRenderedPageBreak/>
        <w:t>كذلك حالة عدم العدل بين الزوجات في حالة التعدد، حيث قال تعالى: "فَانْكِحُوا مَا طَابَ لَكُمْ مِنَ النِّسَاءِ مَثْنَى وَثُلاثَ وَرُبَاعَ فَإِنْ خِفْتُمْ أَلا تَعْدِلُوا فَوَاحِدَةً أَوْ مَا مَلَكَتْ أَيْمَانُكُمْ"</w:t>
      </w:r>
      <w:r w:rsidRPr="008610BE">
        <w:rPr>
          <w:rStyle w:val="Appelnotedebasdep"/>
          <w:rtl/>
        </w:rPr>
        <w:footnoteReference w:id="126"/>
      </w:r>
      <w:r w:rsidRPr="008610BE">
        <w:rPr>
          <w:rtl/>
        </w:rPr>
        <w:t>. فصعوبة العدل بين</w:t>
      </w:r>
      <w:r>
        <w:rPr>
          <w:rtl/>
        </w:rPr>
        <w:t xml:space="preserve"> الزوجات كما سبق شرحه نظراً للم</w:t>
      </w:r>
      <w:r w:rsidRPr="008610BE">
        <w:rPr>
          <w:rtl/>
        </w:rPr>
        <w:t>يل القلبي الذي لا يمكن التحكم فيه يجعلنا نتكلم عن العدل في المسائل المادية وفي الواجبات الملقاة على عاتقنا.</w:t>
      </w:r>
    </w:p>
    <w:p w:rsidR="00C57BE2" w:rsidRPr="008610BE" w:rsidRDefault="00C57BE2" w:rsidP="008A5D2D">
      <w:pPr>
        <w:tabs>
          <w:tab w:val="center" w:pos="4819"/>
        </w:tabs>
        <w:spacing w:after="0" w:line="360" w:lineRule="auto"/>
        <w:ind w:firstLine="567"/>
        <w:jc w:val="both"/>
        <w:outlineLvl w:val="2"/>
        <w:rPr>
          <w:rtl/>
        </w:rPr>
      </w:pPr>
      <w:bookmarkStart w:id="84" w:name="_Toc461013653"/>
      <w:r w:rsidRPr="008610BE">
        <w:rPr>
          <w:b/>
          <w:bCs/>
          <w:rtl/>
        </w:rPr>
        <w:t>الفرع الثاني</w:t>
      </w:r>
      <w:r w:rsidRPr="008610BE">
        <w:rPr>
          <w:rtl/>
        </w:rPr>
        <w:t>: حالات نشوز الزوجة</w:t>
      </w:r>
      <w:bookmarkEnd w:id="84"/>
      <w:r w:rsidRPr="008610BE">
        <w:rPr>
          <w:rtl/>
        </w:rPr>
        <w:tab/>
      </w:r>
    </w:p>
    <w:p w:rsidR="00C57BE2" w:rsidRPr="008610BE" w:rsidRDefault="00C57BE2" w:rsidP="008A5D2D">
      <w:pPr>
        <w:spacing w:after="0" w:line="360" w:lineRule="auto"/>
        <w:ind w:firstLine="567"/>
        <w:jc w:val="both"/>
        <w:rPr>
          <w:rtl/>
        </w:rPr>
      </w:pPr>
      <w:r w:rsidRPr="008610BE">
        <w:rPr>
          <w:rtl/>
        </w:rPr>
        <w:t>تعتبر الزوجة ناشزاً عندما تمتنع عن وضع ذات نفسها في خدمة الأسرة، فهي بذلك تكون متعالية عليه خارجة عن طاعته بل أكثر من ذلك تريد أن تخضعه لسيطرتها، أي أنها لا تستجيب لطلب زوجها بغير حق أو عذر مقبول، فالأصل أن العلاقة الزوجية في علاقة الزوجة بزوجها تدور حول طاعتها له طبقاً لقوام زوجها عليها</w:t>
      </w:r>
      <w:r w:rsidRPr="008610BE">
        <w:rPr>
          <w:rStyle w:val="Appelnotedebasdep"/>
          <w:rtl/>
        </w:rPr>
        <w:footnoteReference w:id="127"/>
      </w:r>
      <w:r w:rsidRPr="008610BE">
        <w:rPr>
          <w:rtl/>
        </w:rPr>
        <w:t>،  لقوله تعالى: "الرِّجَالُ قَوَّامُونَ عَلَى النِّسَاءِ بِمَا فَضَّلَ اللَّهُ بَعْضَهُمْ عَلَى بَعْضٍ وَبِمَا أَنْفَقُوا مِنْ أَمْوَالِهِمْ..."</w:t>
      </w:r>
      <w:r w:rsidRPr="008610BE">
        <w:rPr>
          <w:rStyle w:val="Appelnotedebasdep"/>
          <w:rtl/>
        </w:rPr>
        <w:footnoteReference w:id="128"/>
      </w:r>
      <w:r w:rsidRPr="008610BE">
        <w:rPr>
          <w:rtl/>
        </w:rPr>
        <w:t xml:space="preserve">. </w:t>
      </w:r>
    </w:p>
    <w:p w:rsidR="00C57BE2" w:rsidRPr="008610BE" w:rsidRDefault="00C57BE2" w:rsidP="008A5D2D">
      <w:pPr>
        <w:spacing w:after="0" w:line="360" w:lineRule="auto"/>
        <w:ind w:firstLine="567"/>
        <w:jc w:val="both"/>
        <w:rPr>
          <w:rtl/>
        </w:rPr>
      </w:pPr>
      <w:r w:rsidRPr="008610BE">
        <w:rPr>
          <w:rtl/>
        </w:rPr>
        <w:t xml:space="preserve">فتعد الزوجة ناشزاً إذا خرجت من بيت الزوجية بلا إذن زوجها لغير عذر شرعي، فقد جاء في بدائع الصنائع </w:t>
      </w:r>
      <w:proofErr w:type="spellStart"/>
      <w:r w:rsidRPr="008610BE">
        <w:rPr>
          <w:rtl/>
        </w:rPr>
        <w:t>للكاساني</w:t>
      </w:r>
      <w:proofErr w:type="spellEnd"/>
      <w:r w:rsidRPr="008610BE">
        <w:rPr>
          <w:rtl/>
        </w:rPr>
        <w:t xml:space="preserve"> أنه قال: "الزوجة ممنوعة من خروج بيت الزوجية بدون إذن </w:t>
      </w:r>
      <w:r w:rsidRPr="008610BE">
        <w:rPr>
          <w:rtl/>
        </w:rPr>
        <w:lastRenderedPageBreak/>
        <w:t>زوجها"</w:t>
      </w:r>
      <w:r w:rsidRPr="008610BE">
        <w:rPr>
          <w:rStyle w:val="Appelnotedebasdep"/>
          <w:rtl/>
        </w:rPr>
        <w:footnoteReference w:id="129"/>
      </w:r>
      <w:r w:rsidRPr="008610BE">
        <w:rPr>
          <w:rtl/>
        </w:rPr>
        <w:t>، كذلك قال الدسوقي بهذا أيضا</w:t>
      </w:r>
      <w:r w:rsidRPr="008610BE">
        <w:rPr>
          <w:rStyle w:val="Appelnotedebasdep"/>
          <w:rtl/>
        </w:rPr>
        <w:footnoteReference w:id="130"/>
      </w:r>
      <w:r w:rsidRPr="008610BE">
        <w:rPr>
          <w:rtl/>
        </w:rPr>
        <w:t>، كذلك جاء في الجوهرة المنيرة أنه إذا خرجت من بيته بغير إذنه بغير حق فإنها تعتبر ناشزاً</w:t>
      </w:r>
      <w:r w:rsidRPr="008610BE">
        <w:rPr>
          <w:rStyle w:val="Appelnotedebasdep"/>
          <w:rtl/>
        </w:rPr>
        <w:footnoteReference w:id="131"/>
      </w:r>
      <w:r w:rsidRPr="008610BE">
        <w:rPr>
          <w:rtl/>
        </w:rPr>
        <w:t xml:space="preserve">. </w:t>
      </w:r>
    </w:p>
    <w:p w:rsidR="00C57BE2" w:rsidRPr="008610BE" w:rsidRDefault="00C57BE2" w:rsidP="008A5D2D">
      <w:pPr>
        <w:spacing w:after="0" w:line="360" w:lineRule="auto"/>
        <w:ind w:firstLine="567"/>
        <w:jc w:val="both"/>
        <w:rPr>
          <w:rtl/>
        </w:rPr>
      </w:pPr>
      <w:r w:rsidRPr="008610BE">
        <w:rPr>
          <w:rtl/>
        </w:rPr>
        <w:t xml:space="preserve">وقد استدلوا على ضرورة إذن الزوج لإباحة خروج الزوجة بالقرآن الكريم والسنة النبوية حيث قال تعالى: "وَقَرْنَ فِي بُيُوتِكُنَّ وَلَا تَبَرَّجْنَ تَبَرُّجَ الْجَاهِلِيَّةِ </w:t>
      </w:r>
      <w:proofErr w:type="spellStart"/>
      <w:r w:rsidRPr="008610BE">
        <w:rPr>
          <w:rtl/>
        </w:rPr>
        <w:t>الْأُولَىٰ</w:t>
      </w:r>
      <w:proofErr w:type="spellEnd"/>
      <w:r w:rsidRPr="008610BE">
        <w:rPr>
          <w:rtl/>
        </w:rPr>
        <w:t>..."</w:t>
      </w:r>
      <w:r w:rsidRPr="008610BE">
        <w:rPr>
          <w:rStyle w:val="Appelnotedebasdep"/>
          <w:rtl/>
        </w:rPr>
        <w:footnoteReference w:id="132"/>
      </w:r>
      <w:r w:rsidRPr="008610BE">
        <w:rPr>
          <w:rtl/>
        </w:rPr>
        <w:t xml:space="preserve">، وتدل الآية الكريمة أن الأصل للمرأة هو لزوم استقرارها في البيت وعدم الخروج منه إلا بعذر شرعي وبإذن الزوج. </w:t>
      </w:r>
    </w:p>
    <w:p w:rsidR="00C57BE2" w:rsidRPr="008610BE" w:rsidRDefault="00C57BE2" w:rsidP="008A5D2D">
      <w:pPr>
        <w:spacing w:after="0" w:line="360" w:lineRule="auto"/>
        <w:ind w:firstLine="567"/>
        <w:jc w:val="both"/>
        <w:rPr>
          <w:rtl/>
        </w:rPr>
      </w:pPr>
      <w:r w:rsidRPr="008610BE">
        <w:rPr>
          <w:rtl/>
        </w:rPr>
        <w:t xml:space="preserve">قال القرطبي في معنى هذه الآية أن الأمر بلزوم البيت وإن كان الخطاب لنساء النبي </w:t>
      </w:r>
      <w:r>
        <w:t>-</w:t>
      </w:r>
      <w:r w:rsidRPr="008610BE">
        <w:rPr>
          <w:rtl/>
        </w:rPr>
        <w:t>صلى الله عليه وسلم</w:t>
      </w:r>
      <w:r>
        <w:t>-</w:t>
      </w:r>
      <w:r w:rsidRPr="008610BE">
        <w:rPr>
          <w:rtl/>
        </w:rPr>
        <w:t xml:space="preserve"> فقد دخل غيرهن فيه، بالمعنى هذا لو لم يرد دليل يخص جميع النساء</w:t>
      </w:r>
      <w:r w:rsidRPr="008610BE">
        <w:rPr>
          <w:rStyle w:val="Appelnotedebasdep"/>
          <w:rtl/>
        </w:rPr>
        <w:footnoteReference w:id="133"/>
      </w:r>
      <w:r w:rsidRPr="008610BE">
        <w:rPr>
          <w:rtl/>
        </w:rPr>
        <w:t>.</w:t>
      </w:r>
    </w:p>
    <w:p w:rsidR="00C57BE2" w:rsidRPr="008610BE" w:rsidRDefault="00C57BE2" w:rsidP="008A5D2D">
      <w:pPr>
        <w:spacing w:after="0" w:line="360" w:lineRule="auto"/>
        <w:ind w:firstLine="567"/>
        <w:jc w:val="both"/>
        <w:rPr>
          <w:rtl/>
        </w:rPr>
      </w:pPr>
      <w:r w:rsidRPr="008610BE">
        <w:rPr>
          <w:rtl/>
        </w:rPr>
        <w:t>وقال الجصاص رحمه الله: "وفيه دلالة على أن النساء مأمورات بلزوم البيوت منهيات عن الخروج"</w:t>
      </w:r>
      <w:r w:rsidRPr="008610BE">
        <w:rPr>
          <w:rStyle w:val="Appelnotedebasdep"/>
          <w:rtl/>
        </w:rPr>
        <w:footnoteReference w:id="134"/>
      </w:r>
      <w:r w:rsidRPr="008610BE">
        <w:rPr>
          <w:rtl/>
        </w:rPr>
        <w:t>.</w:t>
      </w:r>
    </w:p>
    <w:p w:rsidR="00C57BE2" w:rsidRPr="008610BE" w:rsidRDefault="00C57BE2" w:rsidP="008A5D2D">
      <w:pPr>
        <w:spacing w:after="0" w:line="360" w:lineRule="auto"/>
        <w:ind w:firstLine="567"/>
        <w:jc w:val="both"/>
        <w:rPr>
          <w:rtl/>
        </w:rPr>
      </w:pPr>
      <w:r w:rsidRPr="008610BE">
        <w:rPr>
          <w:rtl/>
        </w:rPr>
        <w:t>وقال الشيخ سيد قطب: "قوله تعالى (وقرن في بيوتكن) من وقر أي استقرار ومعنى هذا أن يبرحن بيوتهن، أي يكون البيت هو الأصل في حياتهن وهو المقر، وما عدا استثناء يعتبر طارئاً "</w:t>
      </w:r>
      <w:r w:rsidRPr="008610BE">
        <w:rPr>
          <w:rStyle w:val="Appelnotedebasdep"/>
          <w:rtl/>
        </w:rPr>
        <w:footnoteReference w:id="135"/>
      </w:r>
      <w:r w:rsidRPr="008610BE">
        <w:rPr>
          <w:rtl/>
        </w:rPr>
        <w:t>.</w:t>
      </w:r>
    </w:p>
    <w:p w:rsidR="00C57BE2" w:rsidRPr="008610BE" w:rsidRDefault="00C57BE2" w:rsidP="008A5D2D">
      <w:pPr>
        <w:spacing w:after="0" w:line="360" w:lineRule="auto"/>
        <w:ind w:firstLine="567"/>
        <w:jc w:val="both"/>
        <w:rPr>
          <w:rtl/>
        </w:rPr>
      </w:pPr>
      <w:r w:rsidRPr="008610BE">
        <w:rPr>
          <w:rtl/>
        </w:rPr>
        <w:lastRenderedPageBreak/>
        <w:t>أما السنة المطهرة فقد جاءت بعدة أحاديث تبين ذلك، حيث أنه جاء فيما رواه البخاري عن سالم عن أبيه عن النبي (صلى الله عليه وسلم) قال: "إذا استأذنت المرأة أحدكم إلى المسجد فلا يمنعها"، ويدل الحديث دلالة واضحة على أنه ينبغي للزوج أن يأذن لزوجته بالخروج إلى المسجد إذا أرادت ذلك، وتقاس عليه سائر حالات الخروج م</w:t>
      </w:r>
      <w:r>
        <w:rPr>
          <w:rtl/>
        </w:rPr>
        <w:t xml:space="preserve">ن بين الزوجية لأي مصلحة شرعية. </w:t>
      </w:r>
    </w:p>
    <w:p w:rsidR="00C57BE2" w:rsidRPr="008610BE" w:rsidRDefault="00C57BE2" w:rsidP="008A5D2D">
      <w:pPr>
        <w:spacing w:after="0" w:line="360" w:lineRule="auto"/>
        <w:ind w:firstLine="567"/>
        <w:jc w:val="both"/>
        <w:rPr>
          <w:rtl/>
        </w:rPr>
      </w:pPr>
      <w:r w:rsidRPr="008610BE">
        <w:rPr>
          <w:rtl/>
        </w:rPr>
        <w:t>كذلك تعد الزوجة ناشزة إذا سافرت بدون إذن زوجها لحاجة نفسها أو لحاجة غيرها، لكن وقع خلاف بين الفقهاء في مدى اعتبار الزوجة ناشزة في حالة سفرها إلى الحج أو العمرة بغير إذن زوجها، فقد قال الحنفية تعد ناشزة وكذلك إذا أحرمت بحج أو عمرة بغير اذنه سواء كان إحرامها بواجب أو تطوع وصارت بالإحرام بحكم الناشز، واستدلوا لذلك فقالوا: بأن هذا الشهر يترتب عليه فوات التسليم الواجب عليها لزوجها بأمر من قبلها، لأنه إن كان وجها تطوعاً فقد منعت حق الزوج عليها بما ليس واجباً عليها وهو الحج تطوعاً، وإن كان حجها لأداء الفريضة فقد منعت حق الزوج عليها وهو على الفور والحج واجب على التراضي</w:t>
      </w:r>
      <w:r w:rsidRPr="008610BE">
        <w:rPr>
          <w:rStyle w:val="Appelnotedebasdep"/>
          <w:rtl/>
        </w:rPr>
        <w:footnoteReference w:id="136"/>
      </w:r>
      <w:r w:rsidRPr="008610BE">
        <w:rPr>
          <w:rtl/>
        </w:rPr>
        <w:t>.</w:t>
      </w:r>
    </w:p>
    <w:p w:rsidR="00C57BE2" w:rsidRPr="008610BE" w:rsidRDefault="00C57BE2" w:rsidP="008A5D2D">
      <w:pPr>
        <w:spacing w:after="0" w:line="360" w:lineRule="auto"/>
        <w:ind w:firstLine="567"/>
        <w:jc w:val="both"/>
        <w:rPr>
          <w:rtl/>
        </w:rPr>
      </w:pPr>
      <w:r w:rsidRPr="008610BE">
        <w:rPr>
          <w:rtl/>
        </w:rPr>
        <w:t xml:space="preserve">كذلك يرى المالكية أنها إذا سافرت بدون إذن زوجها للحج أو العمرة الواجبة فلا تعتبر ناشزة، أما إذا سافرت لأداء حج تطوع أو نذر مطلق بدون إذن زوجها فإنها تكون ناشزة، واستدلوا لذلك بأنها فعلت الواجب عليها بأصل الشرع، فكان لصيام شهر رمضان إذ أنها </w:t>
      </w:r>
      <w:r w:rsidRPr="008610BE">
        <w:rPr>
          <w:rtl/>
        </w:rPr>
        <w:lastRenderedPageBreak/>
        <w:t>معذورة في ذلك ولا طاعة لمخلوق في معصية الخالق، أما في حالة سفرها لأداء حج تطوع أو نذر مطلق فإنها فوتت على الزوج حقه في الاستمتاع بها، إلا أن يكون الزوج مسافراً معها متمكناً من الاستمتاع بها</w:t>
      </w:r>
      <w:r w:rsidRPr="008610BE">
        <w:rPr>
          <w:rStyle w:val="Appelnotedebasdep"/>
          <w:rtl/>
        </w:rPr>
        <w:footnoteReference w:id="137"/>
      </w:r>
      <w:r w:rsidRPr="008610BE">
        <w:rPr>
          <w:rtl/>
        </w:rPr>
        <w:t>.</w:t>
      </w:r>
    </w:p>
    <w:p w:rsidR="00C57BE2" w:rsidRPr="008610BE" w:rsidRDefault="00C57BE2" w:rsidP="008A5D2D">
      <w:pPr>
        <w:spacing w:after="0" w:line="360" w:lineRule="auto"/>
        <w:ind w:firstLine="567"/>
        <w:jc w:val="both"/>
        <w:rPr>
          <w:rtl/>
        </w:rPr>
      </w:pPr>
      <w:r w:rsidRPr="008610BE">
        <w:rPr>
          <w:rtl/>
        </w:rPr>
        <w:t>لكن يمكن القول بأن ما ذهب إليه الاتجاه الثاني القائل بعدم اعتبار الزوجة ناشزة إذا خرجت لأداء فريضة الحج، دون إذن زوجها هو الأولى بالاتباع شريطة أن يكون خروجها مع محرم وأن تكون قد استأذنت الزوج في السفر ولم يأذن لها لأن الحج أحد أركان الإسلام ولا طاعة لمخلوق في معصية الخالق، إذ أن طاعة الزوجة لزوجها تعني الامتثال والتحريف لأوامر الله تعالى وإرادته وهي محدودة بحدود أوامره الشرعية.</w:t>
      </w:r>
    </w:p>
    <w:p w:rsidR="00C57BE2" w:rsidRPr="008610BE" w:rsidRDefault="00C57BE2" w:rsidP="008A5D2D">
      <w:pPr>
        <w:spacing w:after="0" w:line="360" w:lineRule="auto"/>
        <w:ind w:firstLine="567"/>
        <w:jc w:val="both"/>
        <w:rPr>
          <w:rtl/>
        </w:rPr>
      </w:pPr>
      <w:r w:rsidRPr="008610BE">
        <w:rPr>
          <w:rtl/>
        </w:rPr>
        <w:t>كذلك يعد امتناع الزوجة عن تمكين الزوج منها نشوزاً منها، إذ أن من حق الزوج على زوجته الاستمتاع بالوطء وغيره وذلك بموجب عقد النكاح، وبالتالي فإنها إذا امتنعت عن تمكين الزوج من هذا الحق بدون عذر شرعي، لكن قد اختلف الفقهاء في الحكم عليها بالنشوز على مذهبين.</w:t>
      </w:r>
    </w:p>
    <w:p w:rsidR="00C57BE2" w:rsidRPr="008610BE" w:rsidRDefault="00C57BE2" w:rsidP="008A5D2D">
      <w:pPr>
        <w:spacing w:after="0" w:line="360" w:lineRule="auto"/>
        <w:ind w:firstLine="567"/>
        <w:jc w:val="both"/>
        <w:rPr>
          <w:rtl/>
        </w:rPr>
      </w:pPr>
      <w:r w:rsidRPr="008610BE">
        <w:rPr>
          <w:b/>
          <w:bCs/>
          <w:rtl/>
        </w:rPr>
        <w:t>الأول:</w:t>
      </w:r>
      <w:r w:rsidRPr="008610BE">
        <w:rPr>
          <w:rtl/>
        </w:rPr>
        <w:t xml:space="preserve"> يرى أنصاره أن الزوجة إذا امتنعت عن تمكين الزوج منها بدون عذر شرعي كأن تمنعه من الوطء، أو مكنته منه دون بقية </w:t>
      </w:r>
      <w:proofErr w:type="spellStart"/>
      <w:r w:rsidRPr="008610BE">
        <w:rPr>
          <w:rtl/>
        </w:rPr>
        <w:t>الاستمتاعات</w:t>
      </w:r>
      <w:proofErr w:type="spellEnd"/>
      <w:r w:rsidRPr="008610BE">
        <w:rPr>
          <w:rtl/>
        </w:rPr>
        <w:t xml:space="preserve"> الأخرى كالمس والنظر والمباشرة، أو لم تبت معه في فراشه</w:t>
      </w:r>
      <w:r w:rsidRPr="008610BE">
        <w:rPr>
          <w:rStyle w:val="Appelnotedebasdep"/>
          <w:rtl/>
        </w:rPr>
        <w:footnoteReference w:id="138"/>
      </w:r>
      <w:r w:rsidRPr="008610BE">
        <w:rPr>
          <w:rtl/>
        </w:rPr>
        <w:t xml:space="preserve">، فإنها تكون ناشزة وهذا ما أخذه جمهور الفقهاء من </w:t>
      </w:r>
      <w:r w:rsidRPr="008610BE">
        <w:rPr>
          <w:rtl/>
        </w:rPr>
        <w:lastRenderedPageBreak/>
        <w:t>المالكية والشافعية والحنابلة وبعض الحنفية</w:t>
      </w:r>
      <w:r w:rsidRPr="008610BE">
        <w:rPr>
          <w:rStyle w:val="Appelnotedebasdep"/>
          <w:rtl/>
        </w:rPr>
        <w:footnoteReference w:id="139"/>
      </w:r>
      <w:r w:rsidRPr="008610BE">
        <w:rPr>
          <w:rtl/>
        </w:rPr>
        <w:t xml:space="preserve">، وكذا تعتبر ناشزة إذا لم تلبي دعوته وتلقاه </w:t>
      </w:r>
      <w:proofErr w:type="spellStart"/>
      <w:r w:rsidRPr="008610BE">
        <w:rPr>
          <w:rtl/>
        </w:rPr>
        <w:t>معبسة</w:t>
      </w:r>
      <w:proofErr w:type="spellEnd"/>
      <w:r w:rsidRPr="008610BE">
        <w:rPr>
          <w:rtl/>
        </w:rPr>
        <w:t xml:space="preserve"> ولا تجيبه إلا متبرمة</w:t>
      </w:r>
      <w:r w:rsidRPr="008610BE">
        <w:rPr>
          <w:rStyle w:val="Appelnotedebasdep"/>
          <w:rtl/>
        </w:rPr>
        <w:footnoteReference w:id="140"/>
      </w:r>
      <w:r>
        <w:t>.</w:t>
      </w:r>
    </w:p>
    <w:p w:rsidR="00C57BE2" w:rsidRPr="008610BE" w:rsidRDefault="00C57BE2" w:rsidP="008A5D2D">
      <w:pPr>
        <w:spacing w:after="0" w:line="360" w:lineRule="auto"/>
        <w:ind w:firstLine="567"/>
        <w:jc w:val="both"/>
        <w:rPr>
          <w:rtl/>
        </w:rPr>
      </w:pPr>
      <w:r w:rsidRPr="008610BE">
        <w:rPr>
          <w:rtl/>
        </w:rPr>
        <w:t>واستدل الفقهاء على أن امتناع الزوجة عن تمكين الزوج منها بدون عذر يعتبر نشوزاً بالسنة النبوية والمعقول، فقد جاء فيما رواه البخاري ومسلم عن أبي هريرة رضي الله عنه قال: قال رسول الله صلى الله عليه وسلم: "إذا دعا الرجل امرأته إلى فراشه فأبت أن تجئ لعنتها الملائكة حتى تصبح"</w:t>
      </w:r>
      <w:r w:rsidRPr="008610BE">
        <w:rPr>
          <w:rStyle w:val="Appelnotedebasdep"/>
          <w:rtl/>
        </w:rPr>
        <w:footnoteReference w:id="141"/>
      </w:r>
      <w:r w:rsidRPr="008610BE">
        <w:rPr>
          <w:rtl/>
        </w:rPr>
        <w:t>، وفي رواية أخرى لأبي هريرة رضي الله عنه عن النبي صلى الله عليه وسلم قال: "إذا باتت المرأة مهاجرة فراش زوجها لعنتها الملائكة حتى ترجع"</w:t>
      </w:r>
      <w:r w:rsidRPr="008610BE">
        <w:rPr>
          <w:rStyle w:val="Appelnotedebasdep"/>
          <w:rtl/>
        </w:rPr>
        <w:footnoteReference w:id="142"/>
      </w:r>
      <w:r w:rsidRPr="008610BE">
        <w:rPr>
          <w:rtl/>
        </w:rPr>
        <w:t xml:space="preserve">. </w:t>
      </w:r>
    </w:p>
    <w:p w:rsidR="00C57BE2" w:rsidRPr="008610BE" w:rsidRDefault="00C57BE2" w:rsidP="008A5D2D">
      <w:pPr>
        <w:spacing w:after="0" w:line="360" w:lineRule="auto"/>
        <w:ind w:firstLine="567"/>
        <w:jc w:val="both"/>
        <w:rPr>
          <w:rtl/>
        </w:rPr>
      </w:pPr>
      <w:r w:rsidRPr="008610BE">
        <w:rPr>
          <w:rtl/>
        </w:rPr>
        <w:t>فيدل الحديث على لعن الزوجة واعتبارها ناشزة، إذا لم تأت إلى فراش زوجها إذا دعاها إلى ذلك وليس بها أي عذر من الأعذار كالمحيض أو النفاس، سواء بات غضبان عليها أم لا ولأن طاعتها لزوجها واجبة.</w:t>
      </w:r>
    </w:p>
    <w:p w:rsidR="00C57BE2" w:rsidRPr="008610BE" w:rsidRDefault="00C57BE2" w:rsidP="008A5D2D">
      <w:pPr>
        <w:spacing w:after="0" w:line="360" w:lineRule="auto"/>
        <w:ind w:firstLine="567"/>
        <w:jc w:val="both"/>
        <w:rPr>
          <w:rtl/>
        </w:rPr>
      </w:pPr>
      <w:r w:rsidRPr="008610BE">
        <w:rPr>
          <w:rtl/>
        </w:rPr>
        <w:t xml:space="preserve">أما المعقول فإن مقاصد الزواج أن يعف المرء نفسه </w:t>
      </w:r>
      <w:proofErr w:type="spellStart"/>
      <w:r w:rsidRPr="008610BE">
        <w:rPr>
          <w:rtl/>
        </w:rPr>
        <w:t>ويقيها</w:t>
      </w:r>
      <w:proofErr w:type="spellEnd"/>
      <w:r w:rsidRPr="008610BE">
        <w:rPr>
          <w:rtl/>
        </w:rPr>
        <w:t xml:space="preserve"> موارد الفتنة، وبالتالي ينبغي عليها أن تقوم بهذا الحق عن رضا وطيب نفس، لان هذا هو الذي </w:t>
      </w:r>
      <w:proofErr w:type="spellStart"/>
      <w:r w:rsidRPr="008610BE">
        <w:rPr>
          <w:rtl/>
        </w:rPr>
        <w:t>تقتضيه</w:t>
      </w:r>
      <w:proofErr w:type="spellEnd"/>
      <w:r w:rsidRPr="008610BE">
        <w:rPr>
          <w:rtl/>
        </w:rPr>
        <w:t xml:space="preserve"> حسن المعاشرة بالمعروف، التي ينبغي أن تكون بين الزوجين وهذا من شأنه أن يزيد من الألفة والمحبة بينهما وهو ما تهدف إليه الشريعة الإسلامية. </w:t>
      </w:r>
    </w:p>
    <w:p w:rsidR="00C57BE2" w:rsidRPr="008610BE" w:rsidRDefault="00C57BE2" w:rsidP="008A5D2D">
      <w:pPr>
        <w:spacing w:after="0" w:line="360" w:lineRule="auto"/>
        <w:ind w:firstLine="567"/>
        <w:jc w:val="both"/>
        <w:rPr>
          <w:rtl/>
        </w:rPr>
      </w:pPr>
      <w:r w:rsidRPr="008610BE">
        <w:rPr>
          <w:b/>
          <w:bCs/>
          <w:rtl/>
        </w:rPr>
        <w:lastRenderedPageBreak/>
        <w:t>الثاني:</w:t>
      </w:r>
      <w:r w:rsidRPr="008610BE">
        <w:rPr>
          <w:rtl/>
        </w:rPr>
        <w:t xml:space="preserve"> يرى أنصاره أن الزوجة إذا امتنعت من تمكين زوجها منها لا تعتبر ناشزة، أما إذا كان الامتناع في منزلها هي فإنها تكون ناشزة، وهذا ما ذهب إليها المالكية</w:t>
      </w:r>
      <w:r w:rsidRPr="008610BE">
        <w:rPr>
          <w:rStyle w:val="Appelnotedebasdep"/>
          <w:rtl/>
        </w:rPr>
        <w:footnoteReference w:id="143"/>
      </w:r>
      <w:r w:rsidRPr="008610BE">
        <w:rPr>
          <w:rtl/>
        </w:rPr>
        <w:t>، وعللوا لذلك بأن الزوجة موجودة في منزل الزوجية واحتباسها فيه قائما والزوج يقدر على وطئها طوعاً أو كرهاً فلا تعد ناشزة، ألا ترى أن البكر لا توطأ إلا كرها</w:t>
      </w:r>
      <w:r w:rsidRPr="008610BE">
        <w:rPr>
          <w:rStyle w:val="Appelnotedebasdep"/>
          <w:rtl/>
        </w:rPr>
        <w:footnoteReference w:id="144"/>
      </w:r>
      <w:r w:rsidRPr="008610BE">
        <w:rPr>
          <w:rtl/>
        </w:rPr>
        <w:t>.</w:t>
      </w:r>
    </w:p>
    <w:p w:rsidR="00C57BE2" w:rsidRPr="008610BE" w:rsidRDefault="00C57BE2" w:rsidP="008A5D2D">
      <w:pPr>
        <w:spacing w:after="0" w:line="360" w:lineRule="auto"/>
        <w:ind w:firstLine="567"/>
        <w:jc w:val="both"/>
        <w:rPr>
          <w:rtl/>
        </w:rPr>
      </w:pPr>
      <w:r w:rsidRPr="008610BE">
        <w:rPr>
          <w:rtl/>
        </w:rPr>
        <w:t>وعللوا لكونها ناشزة إذا كان الامتناع في منزلها، لأن حياءها في منزلها أمر مستبعد بخلافه في منزله.</w:t>
      </w:r>
    </w:p>
    <w:p w:rsidR="00C57BE2" w:rsidRPr="008610BE" w:rsidRDefault="00C57BE2" w:rsidP="008A5D2D">
      <w:pPr>
        <w:spacing w:after="0" w:line="360" w:lineRule="auto"/>
        <w:ind w:firstLine="567"/>
        <w:jc w:val="both"/>
        <w:rPr>
          <w:rtl/>
        </w:rPr>
      </w:pPr>
      <w:r w:rsidRPr="008610BE">
        <w:rPr>
          <w:rtl/>
        </w:rPr>
        <w:t>غير أن ما ذهب إليه جمهور الفقهاء باعتبار الزوجة ناشزة بعدم تمكينها زوجها من الوطء، أو مقدماته بغير عذر شرعي ولو كان الزوج قادراً على إكراهها على الوطء، إذ أن الحياة الزوجية لا تستقيم مع تحقيق هذه الأغراض بالإكراه، ولا يتماشى ذلك مع حسن المعاشرة بالمعروف الذي ورد النص بذكره في قوله تعالى: "وَعَاشِرُوهِنَّ بِالمَعرُوف"</w:t>
      </w:r>
      <w:r w:rsidRPr="008610BE">
        <w:rPr>
          <w:rStyle w:val="Appelnotedebasdep"/>
          <w:rtl/>
        </w:rPr>
        <w:footnoteReference w:id="145"/>
      </w:r>
      <w:r w:rsidRPr="008610BE">
        <w:rPr>
          <w:rtl/>
        </w:rPr>
        <w:t>.</w:t>
      </w:r>
    </w:p>
    <w:p w:rsidR="00C57BE2" w:rsidRPr="008610BE" w:rsidRDefault="00C57BE2" w:rsidP="008A5D2D">
      <w:pPr>
        <w:spacing w:after="0" w:line="360" w:lineRule="auto"/>
        <w:ind w:firstLine="567"/>
        <w:jc w:val="both"/>
        <w:rPr>
          <w:rtl/>
        </w:rPr>
      </w:pPr>
      <w:r w:rsidRPr="008610BE">
        <w:rPr>
          <w:rtl/>
        </w:rPr>
        <w:t xml:space="preserve">وقد أكدت الشريعة الإسلامية حق الزوج في استمتاعه بزوجته استمتاعاً كاملاً، وحذرت الزوجة من امتناعها عن أدائه، وذلك في سياق الحديث النبوي الشريف الذي يقول فيه المصطفى صلى الله عليه وسلم: "أيما امرأة دعاها زوجها إلى فراشه فأبت أن تجيء فبات </w:t>
      </w:r>
      <w:r w:rsidRPr="008610BE">
        <w:rPr>
          <w:rtl/>
        </w:rPr>
        <w:lastRenderedPageBreak/>
        <w:t>غضبان عليها لعنتها الملائكة حتى تصبح"</w:t>
      </w:r>
      <w:r w:rsidRPr="008610BE">
        <w:rPr>
          <w:rStyle w:val="Appelnotedebasdep"/>
          <w:rtl/>
        </w:rPr>
        <w:footnoteReference w:id="146"/>
      </w:r>
      <w:r w:rsidRPr="008610BE">
        <w:rPr>
          <w:rtl/>
        </w:rPr>
        <w:t>، إلا إذا كان امتناعها عن التمتع بها بعذر، فهناك حالات منها:</w:t>
      </w:r>
    </w:p>
    <w:p w:rsidR="00C57BE2" w:rsidRPr="008610BE" w:rsidRDefault="00C57BE2" w:rsidP="008A5D2D">
      <w:pPr>
        <w:spacing w:after="0" w:line="360" w:lineRule="auto"/>
        <w:ind w:firstLine="567"/>
        <w:jc w:val="both"/>
        <w:rPr>
          <w:rtl/>
        </w:rPr>
      </w:pPr>
      <w:r w:rsidRPr="008610BE">
        <w:rPr>
          <w:rtl/>
        </w:rPr>
        <w:t>- الحيض والنفاس والاستحاضة.</w:t>
      </w:r>
    </w:p>
    <w:p w:rsidR="00C57BE2" w:rsidRPr="008610BE" w:rsidRDefault="00C57BE2" w:rsidP="008A5D2D">
      <w:pPr>
        <w:spacing w:after="0" w:line="360" w:lineRule="auto"/>
        <w:ind w:firstLine="567"/>
        <w:jc w:val="both"/>
        <w:rPr>
          <w:rtl/>
        </w:rPr>
      </w:pPr>
      <w:r w:rsidRPr="008610BE">
        <w:rPr>
          <w:rtl/>
        </w:rPr>
        <w:t>- أن يكون بفرجها جراحة، وعلمت أنه متى لمسها أضر بها.</w:t>
      </w:r>
    </w:p>
    <w:p w:rsidR="00C57BE2" w:rsidRPr="008610BE" w:rsidRDefault="00C57BE2" w:rsidP="008A5D2D">
      <w:pPr>
        <w:spacing w:after="0" w:line="360" w:lineRule="auto"/>
        <w:ind w:firstLine="567"/>
        <w:jc w:val="both"/>
        <w:rPr>
          <w:rtl/>
        </w:rPr>
      </w:pPr>
      <w:r w:rsidRPr="008610BE">
        <w:rPr>
          <w:rtl/>
        </w:rPr>
        <w:t>- أن يكون بها مرض يضر</w:t>
      </w:r>
      <w:r>
        <w:rPr>
          <w:rtl/>
        </w:rPr>
        <w:t xml:space="preserve"> معه الوطء سواء أضر به أو بها</w:t>
      </w:r>
      <w:r>
        <w:rPr>
          <w:rStyle w:val="Appelnotedebasdep"/>
          <w:rtl/>
        </w:rPr>
        <w:footnoteReference w:id="147"/>
      </w:r>
      <w:r>
        <w:rPr>
          <w:rtl/>
        </w:rPr>
        <w:t xml:space="preserve">. </w:t>
      </w:r>
    </w:p>
    <w:p w:rsidR="00C57BE2" w:rsidRPr="008610BE" w:rsidRDefault="00C57BE2" w:rsidP="008A5D2D">
      <w:pPr>
        <w:spacing w:after="0" w:line="360" w:lineRule="auto"/>
        <w:ind w:firstLine="567"/>
        <w:jc w:val="both"/>
        <w:outlineLvl w:val="1"/>
        <w:rPr>
          <w:rtl/>
        </w:rPr>
      </w:pPr>
      <w:bookmarkStart w:id="85" w:name="_Toc461013654"/>
      <w:r w:rsidRPr="008610BE">
        <w:rPr>
          <w:b/>
          <w:bCs/>
          <w:rtl/>
        </w:rPr>
        <w:t>المطلب الثاني</w:t>
      </w:r>
      <w:r>
        <w:rPr>
          <w:rtl/>
        </w:rPr>
        <w:t>: الإجراءات المنفذة عند النشوز</w:t>
      </w:r>
      <w:bookmarkEnd w:id="85"/>
    </w:p>
    <w:p w:rsidR="00C57BE2" w:rsidRPr="008610BE" w:rsidRDefault="00C57BE2" w:rsidP="008A5D2D">
      <w:pPr>
        <w:spacing w:after="0" w:line="360" w:lineRule="auto"/>
        <w:ind w:firstLine="567"/>
        <w:jc w:val="both"/>
        <w:rPr>
          <w:rtl/>
        </w:rPr>
      </w:pPr>
      <w:r w:rsidRPr="008610BE">
        <w:rPr>
          <w:rtl/>
        </w:rPr>
        <w:t>هي مجموعة التدابير التي يتخذها أحد الزوجين في حالة النشوز، فلابد على الزوجين أن يتداركا الوضع بنوع من الحكمة والتعقل من أجل حماية الأسرة من الشتات والضياع، فقد وضعت الشريعة الإسلامية حلولاً أو بالأحرى إجراءات على كل واح منهما اتخاذها لمسك زمام الأمور وعودة المياه إلى مجاريها، هذه الإجراءات يتخذها الزوج إذا كان النشوز من قبل الزوجة وتتخذها الزوجة في حالة نشوز زوجها.</w:t>
      </w:r>
    </w:p>
    <w:p w:rsidR="00C57BE2" w:rsidRPr="008610BE" w:rsidRDefault="00C57BE2" w:rsidP="008A5D2D">
      <w:pPr>
        <w:spacing w:after="0" w:line="360" w:lineRule="auto"/>
        <w:ind w:firstLine="567"/>
        <w:jc w:val="both"/>
        <w:rPr>
          <w:rtl/>
        </w:rPr>
      </w:pPr>
      <w:r w:rsidRPr="008610BE">
        <w:rPr>
          <w:rtl/>
        </w:rPr>
        <w:t>إذا كان النشوز من جانب الزوج، حيث قال تعالى: "وَإِنِ امْرَأَةٌ خَافَتْ مِن بَعْلِهَا نُشُوزاً أَوْ إِعْرَاضاً فَلاَ جُنَاْحَ عَلَيْهِمَا أَن يُصْلِحَا بَيْنَهُمَا صُلْحاً وَالصُّلْحُ خَيْرٌ وَأُحْضِرَتِ الأَنفُسُ الشُّحَّ وَإِن تُحْسِنُواْ وَتَتَّقُواْ فَإِنَّ اللّهَ كَانَ بِمَا تَعْمَلُونَ خَبِيراً"</w:t>
      </w:r>
      <w:r w:rsidRPr="008610BE">
        <w:rPr>
          <w:rStyle w:val="Appelnotedebasdep"/>
          <w:rtl/>
        </w:rPr>
        <w:footnoteReference w:id="148"/>
      </w:r>
      <w:r w:rsidRPr="008610BE">
        <w:rPr>
          <w:rtl/>
        </w:rPr>
        <w:t>.</w:t>
      </w:r>
    </w:p>
    <w:p w:rsidR="00C57BE2" w:rsidRPr="008610BE" w:rsidRDefault="00C57BE2" w:rsidP="008A5D2D">
      <w:pPr>
        <w:spacing w:after="0" w:line="360" w:lineRule="auto"/>
        <w:ind w:firstLine="567"/>
        <w:jc w:val="both"/>
        <w:rPr>
          <w:rtl/>
        </w:rPr>
      </w:pPr>
      <w:r w:rsidRPr="008610BE">
        <w:rPr>
          <w:rtl/>
        </w:rPr>
        <w:lastRenderedPageBreak/>
        <w:t>وقد دلت الآية الكريمة أن في حالة حدوث شقاق فإن الزوجة تأتي إلى أهلها أو إلى أهل زوجها أو إلى القاضي بحسب الظروف ليتحروا أسباب الشقاق بين الزوجين وليختاروا الوسيلة الشرعية المناسبة لإعادة الوفاق بين الزوجين إن أمكن وكذا أن الزوجة تستعين بأهلها أو أهل زوجها من أجل الصلح، فالصلح هو سبيل الوئام والألفة والمودة، لأن النفس شحيحة على ما ترى من حقها فلابد من استمالتها بالصلح، إذ به تطيب النفوس</w:t>
      </w:r>
      <w:r w:rsidRPr="008610BE">
        <w:rPr>
          <w:rStyle w:val="Appelnotedebasdep"/>
          <w:rtl/>
        </w:rPr>
        <w:footnoteReference w:id="149"/>
      </w:r>
      <w:r w:rsidRPr="008610BE">
        <w:rPr>
          <w:rtl/>
        </w:rPr>
        <w:t xml:space="preserve"> وهو معنى قوله تعالى: " وَأُحْضِرَتِ الأَنفُسُ الشُّحَّ"</w:t>
      </w:r>
      <w:r w:rsidRPr="008610BE">
        <w:rPr>
          <w:rStyle w:val="Appelnotedebasdep"/>
          <w:rtl/>
        </w:rPr>
        <w:footnoteReference w:id="150"/>
      </w:r>
      <w:r w:rsidRPr="008610BE">
        <w:rPr>
          <w:rtl/>
        </w:rPr>
        <w:t xml:space="preserve">. </w:t>
      </w:r>
    </w:p>
    <w:p w:rsidR="00C57BE2" w:rsidRPr="008610BE" w:rsidRDefault="00C57BE2" w:rsidP="008A5D2D">
      <w:pPr>
        <w:spacing w:after="0" w:line="360" w:lineRule="auto"/>
        <w:ind w:firstLine="567"/>
        <w:jc w:val="both"/>
        <w:rPr>
          <w:rtl/>
        </w:rPr>
      </w:pPr>
      <w:r w:rsidRPr="008610BE">
        <w:rPr>
          <w:rtl/>
        </w:rPr>
        <w:t>ولأنه بالطبع الصلح خير من الخصومة وخير من سوء العشرة وخير من فرقة الزوجين وهو من مكارم الأخلاق، فيتنازل الزوجين عن بعض من حقوقهم مما يكسر العناد وتلين به الطباع وهذا يساعد على إنهاء النزاع وتمام الصلح والإحسان والتقوى</w:t>
      </w:r>
      <w:r w:rsidRPr="008610BE">
        <w:rPr>
          <w:rStyle w:val="Appelnotedebasdep"/>
          <w:rtl/>
        </w:rPr>
        <w:footnoteReference w:id="151"/>
      </w:r>
      <w:r w:rsidRPr="008610BE">
        <w:rPr>
          <w:rtl/>
        </w:rPr>
        <w:t>، ولهذا قال تعالى: " وَإِن تُحْسِنُواْ وَتَتَّقُواْ فَإِنَّ اللّهَ كَانَ بِمَا تَعْمَلُونَ خَبِيراً"</w:t>
      </w:r>
      <w:r w:rsidRPr="008610BE">
        <w:rPr>
          <w:rStyle w:val="Appelnotedebasdep"/>
          <w:rtl/>
        </w:rPr>
        <w:footnoteReference w:id="152"/>
      </w:r>
      <w:r w:rsidRPr="008610BE">
        <w:rPr>
          <w:rtl/>
        </w:rPr>
        <w:t xml:space="preserve">. </w:t>
      </w:r>
    </w:p>
    <w:p w:rsidR="00C57BE2" w:rsidRPr="008610BE" w:rsidRDefault="00C57BE2" w:rsidP="008A5D2D">
      <w:pPr>
        <w:spacing w:after="0" w:line="360" w:lineRule="auto"/>
        <w:ind w:firstLine="567"/>
        <w:jc w:val="both"/>
        <w:rPr>
          <w:rtl/>
        </w:rPr>
      </w:pPr>
      <w:r w:rsidRPr="008610BE">
        <w:rPr>
          <w:rtl/>
        </w:rPr>
        <w:t xml:space="preserve">أما إذا كان النشوز من جانب الزوجة فنجد أن القرآن الكريم قد تطرق لعدة </w:t>
      </w:r>
      <w:proofErr w:type="spellStart"/>
      <w:r w:rsidRPr="008610BE">
        <w:rPr>
          <w:rtl/>
        </w:rPr>
        <w:t>طرقلردهن</w:t>
      </w:r>
      <w:proofErr w:type="spellEnd"/>
      <w:r w:rsidRPr="008610BE">
        <w:rPr>
          <w:rtl/>
        </w:rPr>
        <w:t xml:space="preserve"> وإصلاحهن حتى لا تتعرض العلاقة الزوجية إلى ما يعصف بها في مهب الريح، ومن هاته الطرق ما يلي:</w:t>
      </w:r>
    </w:p>
    <w:p w:rsidR="00C57BE2" w:rsidRPr="008610BE" w:rsidRDefault="00C57BE2" w:rsidP="008A5D2D">
      <w:pPr>
        <w:spacing w:after="0" w:line="360" w:lineRule="auto"/>
        <w:ind w:firstLine="567"/>
        <w:jc w:val="both"/>
        <w:rPr>
          <w:rtl/>
        </w:rPr>
      </w:pPr>
      <w:r w:rsidRPr="008610BE">
        <w:rPr>
          <w:rtl/>
        </w:rPr>
        <w:lastRenderedPageBreak/>
        <w:t>قال تعالى: "وَاللاتِي تَخَافُونَ نُشُوزَهُنَّ فَعِظُوهُنَّ وَاهْجُرُوهُنَّ فِي الْمَضَاجِعِ وَاضْرِبُوهُنَّ"</w:t>
      </w:r>
      <w:r w:rsidRPr="008610BE">
        <w:rPr>
          <w:rStyle w:val="Appelnotedebasdep"/>
          <w:rtl/>
        </w:rPr>
        <w:footnoteReference w:id="153"/>
      </w:r>
      <w:r w:rsidRPr="008610BE">
        <w:rPr>
          <w:rtl/>
        </w:rPr>
        <w:t>.</w:t>
      </w:r>
    </w:p>
    <w:p w:rsidR="00C57BE2" w:rsidRPr="008610BE" w:rsidRDefault="00C57BE2" w:rsidP="008A5D2D">
      <w:pPr>
        <w:spacing w:after="0" w:line="360" w:lineRule="auto"/>
        <w:ind w:firstLine="567"/>
        <w:jc w:val="both"/>
        <w:rPr>
          <w:rtl/>
        </w:rPr>
      </w:pPr>
      <w:r w:rsidRPr="008610BE">
        <w:rPr>
          <w:rtl/>
        </w:rPr>
        <w:t>فقد دلت الآية الكريمة أنه في حالة نشوز الزوجة فإنه على الزوج اتباع مراحل معينة لتأديبها مع العلم أن التأديب في حالة نشوز الزوجة هو واجب من واجبات الزوج عليه مراعاة الاعتدال فيه، فمراحل التأديب حسب ما ذكرها الله تعالى هي:</w:t>
      </w:r>
    </w:p>
    <w:p w:rsidR="00C57BE2" w:rsidRPr="008610BE" w:rsidRDefault="00C57BE2" w:rsidP="008A5D2D">
      <w:pPr>
        <w:autoSpaceDE w:val="0"/>
        <w:autoSpaceDN w:val="0"/>
        <w:adjustRightInd w:val="0"/>
        <w:spacing w:after="0" w:line="360" w:lineRule="auto"/>
        <w:jc w:val="both"/>
        <w:rPr>
          <w:rtl/>
        </w:rPr>
      </w:pPr>
      <w:r w:rsidRPr="008610BE">
        <w:rPr>
          <w:b/>
          <w:bCs/>
          <w:rtl/>
        </w:rPr>
        <w:t xml:space="preserve">-الوعظ والإرشاد: </w:t>
      </w:r>
      <w:r w:rsidRPr="008610BE">
        <w:rPr>
          <w:rtl/>
        </w:rPr>
        <w:t>هذه أول مرحلة ينبغي أن يسلكها الزوج عند ظهور بعض إمارات النشوز من زوجته، فيذكرها ما أوجب الله له عليها من حسن الصحبة وجميل العشرة، والاعتراف بالدرجة التي له عليها، وما له عليها من حق يجب أداؤه، وما يترتب على إضاعته من سخط الله وعذابه، فهو ترغيب بأجر الطاعة، وترهيب من عقوبة المعصية، فيما يتعلق بحق الزوج عليها.</w:t>
      </w:r>
    </w:p>
    <w:p w:rsidR="00C57BE2" w:rsidRPr="008610BE" w:rsidRDefault="00C57BE2" w:rsidP="008A5D2D">
      <w:pPr>
        <w:autoSpaceDE w:val="0"/>
        <w:autoSpaceDN w:val="0"/>
        <w:adjustRightInd w:val="0"/>
        <w:spacing w:after="0" w:line="360" w:lineRule="auto"/>
        <w:jc w:val="both"/>
        <w:rPr>
          <w:rtl/>
        </w:rPr>
      </w:pPr>
      <w:r w:rsidRPr="008610BE">
        <w:rPr>
          <w:rtl/>
        </w:rPr>
        <w:t>وقد قال الرسول صلى الله عليه وسلم: "لو كنت آمراً أحداً أن يسجد لأحد لأمرت المرأة أن تسجد لزوجها، من عظم حقه عليها ".</w:t>
      </w:r>
    </w:p>
    <w:p w:rsidR="00C57BE2" w:rsidRPr="008610BE" w:rsidRDefault="00C57BE2" w:rsidP="008A5D2D">
      <w:pPr>
        <w:autoSpaceDE w:val="0"/>
        <w:autoSpaceDN w:val="0"/>
        <w:adjustRightInd w:val="0"/>
        <w:spacing w:after="0" w:line="360" w:lineRule="auto"/>
        <w:jc w:val="both"/>
        <w:rPr>
          <w:rtl/>
        </w:rPr>
      </w:pPr>
      <w:r w:rsidRPr="008610BE">
        <w:rPr>
          <w:rtl/>
        </w:rPr>
        <w:t>وروى البخاري ومسلم عن أبي هريرة رضي الله عنه، قال: قال رسول الله صلى الله عليه وسلم: "إذا دعا الرجل امرأته إلى فراشه فأبت عليه، لعنتها الملائكة حتى تصبح"</w:t>
      </w:r>
      <w:r w:rsidRPr="008610BE">
        <w:rPr>
          <w:rStyle w:val="Appelnotedebasdep"/>
          <w:rtl/>
        </w:rPr>
        <w:footnoteReference w:id="154"/>
      </w:r>
      <w:r w:rsidRPr="008610BE">
        <w:rPr>
          <w:rtl/>
        </w:rPr>
        <w:t>.</w:t>
      </w:r>
    </w:p>
    <w:p w:rsidR="00C57BE2" w:rsidRPr="008610BE" w:rsidRDefault="00C57BE2" w:rsidP="008A5D2D">
      <w:pPr>
        <w:spacing w:after="0" w:line="360" w:lineRule="auto"/>
        <w:ind w:firstLine="567"/>
        <w:jc w:val="both"/>
        <w:rPr>
          <w:rtl/>
        </w:rPr>
      </w:pPr>
      <w:r w:rsidRPr="008610BE">
        <w:rPr>
          <w:rtl/>
        </w:rPr>
        <w:t xml:space="preserve">وبالجملة ينبغي أن يبدأ بالوعظ الذي يرى أنه يؤثر في نفسها، وهذا يختلف باختلاف حال المرأة، فمنهن من يؤثر في نفسها التذكير بحكم الله ورسوله في وجوب طاعة الزوج وما يترتب على ذلك من الثواب، والتحذير من معصيته وما يترتب عليها من العقاب. ومنهن من </w:t>
      </w:r>
      <w:r w:rsidRPr="008610BE">
        <w:rPr>
          <w:rtl/>
        </w:rPr>
        <w:lastRenderedPageBreak/>
        <w:t>يؤثر في نفسها التهديد والتحذير</w:t>
      </w:r>
      <w:r w:rsidRPr="008610BE">
        <w:rPr>
          <w:rStyle w:val="Appelnotedebasdep"/>
          <w:rtl/>
        </w:rPr>
        <w:footnoteReference w:id="155"/>
      </w:r>
      <w:r w:rsidRPr="008610BE">
        <w:rPr>
          <w:rtl/>
        </w:rPr>
        <w:t>يجوز للزوج أن يؤدب زوجته عندما تخرج عن المعتاد وترتكب خطأ لا يليق بمثلها، فإن هذا التأديب يكون حسب نوع الخطأ وجسامته، فيقوم الزوج بتنبيه زوجته إلى الخطأ الذي ارتكبته ويبين لها مضار ومساوئ هذا الخطأ وآثاره السيئة على كيان الأسرة وعلى العلاقات الزوجية ثم يرشدها إلى السلوك القويم بأسلوب فيه شيء من العتاب والملامة وشيء من الأمر بالمعروف والنهي عن المنكر.</w:t>
      </w:r>
    </w:p>
    <w:p w:rsidR="00C57BE2" w:rsidRPr="008610BE" w:rsidRDefault="00C57BE2" w:rsidP="008A5D2D">
      <w:pPr>
        <w:spacing w:after="0" w:line="360" w:lineRule="auto"/>
        <w:ind w:firstLine="567"/>
        <w:jc w:val="both"/>
        <w:rPr>
          <w:rtl/>
        </w:rPr>
      </w:pPr>
      <w:r w:rsidRPr="008610BE">
        <w:rPr>
          <w:rtl/>
        </w:rPr>
        <w:t xml:space="preserve">فيقول </w:t>
      </w:r>
      <w:proofErr w:type="spellStart"/>
      <w:r w:rsidRPr="008610BE">
        <w:rPr>
          <w:rtl/>
        </w:rPr>
        <w:t>الكاساني</w:t>
      </w:r>
      <w:proofErr w:type="spellEnd"/>
      <w:r w:rsidRPr="008610BE">
        <w:rPr>
          <w:rtl/>
        </w:rPr>
        <w:t xml:space="preserve"> رحمه الله في صفة الوعظ: "التأديب للزوج إذا لم تطعه فيما يلزم طاعته، بأن كانت ناشزة، فله أن يؤدبها، لكن على الترتيب فيعضها أولاً على الرفق واللين، بأن يقول لها: كوني من الصالحات القانتات الحافظات للغيب، ولا تكوني من كذا وكذا، فلعلها تقبل الموعظة فتترك النشوز"</w:t>
      </w:r>
      <w:r w:rsidRPr="008610BE">
        <w:rPr>
          <w:rStyle w:val="Appelnotedebasdep"/>
          <w:rtl/>
        </w:rPr>
        <w:footnoteReference w:id="156"/>
      </w:r>
      <w:r w:rsidRPr="008610BE">
        <w:rPr>
          <w:rtl/>
        </w:rPr>
        <w:t>.</w:t>
      </w:r>
    </w:p>
    <w:p w:rsidR="00C57BE2" w:rsidRPr="008610BE" w:rsidRDefault="00C57BE2" w:rsidP="008A5D2D">
      <w:pPr>
        <w:spacing w:after="0" w:line="360" w:lineRule="auto"/>
        <w:ind w:firstLine="567"/>
        <w:jc w:val="both"/>
        <w:rPr>
          <w:rtl/>
        </w:rPr>
      </w:pPr>
      <w:r w:rsidRPr="008610BE">
        <w:rPr>
          <w:rtl/>
        </w:rPr>
        <w:t>كما قال الجصاص في صفة الوعظ: "يعني تخويفهن بالله وعقابه"</w:t>
      </w:r>
      <w:r w:rsidRPr="008610BE">
        <w:rPr>
          <w:rStyle w:val="Appelnotedebasdep"/>
          <w:rtl/>
        </w:rPr>
        <w:footnoteReference w:id="157"/>
      </w:r>
      <w:r w:rsidRPr="008610BE">
        <w:rPr>
          <w:rtl/>
        </w:rPr>
        <w:t>.</w:t>
      </w:r>
    </w:p>
    <w:p w:rsidR="00C57BE2" w:rsidRPr="008610BE" w:rsidRDefault="00C57BE2" w:rsidP="008A5D2D">
      <w:pPr>
        <w:spacing w:after="0" w:line="360" w:lineRule="auto"/>
        <w:ind w:firstLine="567"/>
        <w:jc w:val="both"/>
        <w:rPr>
          <w:rtl/>
        </w:rPr>
      </w:pPr>
      <w:r w:rsidRPr="008610BE">
        <w:rPr>
          <w:rtl/>
        </w:rPr>
        <w:t>ويقول النووي أن صفة العظة تكون بكتاب الله، أي بما أوجبه الله تعالى في كتابه من حسن الصحبة وجميل المعاشرة والعشرة للزوج والاعتراف بالدرجة التي عليها</w:t>
      </w:r>
      <w:r w:rsidRPr="008610BE">
        <w:rPr>
          <w:rStyle w:val="Appelnotedebasdep"/>
          <w:rtl/>
        </w:rPr>
        <w:footnoteReference w:id="158"/>
      </w:r>
      <w:r w:rsidRPr="008610BE">
        <w:rPr>
          <w:rtl/>
        </w:rPr>
        <w:t>.</w:t>
      </w:r>
    </w:p>
    <w:p w:rsidR="00C57BE2" w:rsidRPr="008610BE" w:rsidRDefault="00C57BE2" w:rsidP="008A5D2D">
      <w:pPr>
        <w:spacing w:after="0" w:line="360" w:lineRule="auto"/>
        <w:ind w:firstLine="567"/>
        <w:jc w:val="both"/>
        <w:rPr>
          <w:rtl/>
        </w:rPr>
      </w:pPr>
      <w:r w:rsidRPr="008610BE">
        <w:rPr>
          <w:rtl/>
        </w:rPr>
        <w:t>ويقول الإمام الماوردي: "أما العظة فهو أن يخوفها بالله تعالى وبنفسه، كأن يقول لها اتقي الله وخافيه واخشي سخطه واحذري عقابه، فإن التخويف بالله تعالى من أبلغ الزواجر في ذوي الدين"</w:t>
      </w:r>
      <w:r w:rsidRPr="008610BE">
        <w:rPr>
          <w:rStyle w:val="Appelnotedebasdep"/>
          <w:rtl/>
        </w:rPr>
        <w:footnoteReference w:id="159"/>
      </w:r>
      <w:r w:rsidRPr="008610BE">
        <w:rPr>
          <w:rtl/>
        </w:rPr>
        <w:t>.</w:t>
      </w:r>
    </w:p>
    <w:p w:rsidR="00C57BE2" w:rsidRPr="008610BE" w:rsidRDefault="00C57BE2" w:rsidP="008A5D2D">
      <w:pPr>
        <w:spacing w:after="0" w:line="360" w:lineRule="auto"/>
        <w:ind w:firstLine="567"/>
        <w:jc w:val="both"/>
        <w:rPr>
          <w:rtl/>
        </w:rPr>
      </w:pPr>
      <w:r w:rsidRPr="008610BE">
        <w:rPr>
          <w:b/>
          <w:bCs/>
          <w:rtl/>
        </w:rPr>
        <w:lastRenderedPageBreak/>
        <w:t>- الهجر في المضجع:</w:t>
      </w:r>
      <w:r w:rsidRPr="008610BE">
        <w:rPr>
          <w:rtl/>
        </w:rPr>
        <w:t xml:space="preserve"> هي وسيلة أعلى من الوعظ في إظهار غضبه منها وإعلان قدرته على الاستغناء عنها إن استمرت في عصيانها دون حق، فهي أن يوليها ظهره في المضجع أو أن ينفرد عنها بالفراش ولا يجامعها</w:t>
      </w:r>
      <w:r w:rsidRPr="008610BE">
        <w:rPr>
          <w:rStyle w:val="Appelnotedebasdep"/>
          <w:rtl/>
        </w:rPr>
        <w:footnoteReference w:id="160"/>
      </w:r>
      <w:r w:rsidRPr="008610BE">
        <w:rPr>
          <w:rtl/>
        </w:rPr>
        <w:t>، فهناك من يرى من الفقهاء أن المراد بالهجر هو هجر الجماع، بمعنى أنه يضاجعها على فراشها ويوليها ظهره ولا يجامعها</w:t>
      </w:r>
      <w:r w:rsidRPr="008610BE">
        <w:rPr>
          <w:rStyle w:val="Appelnotedebasdep"/>
          <w:rtl/>
        </w:rPr>
        <w:footnoteReference w:id="161"/>
      </w:r>
      <w:r w:rsidRPr="008610BE">
        <w:rPr>
          <w:rtl/>
        </w:rPr>
        <w:t>.</w:t>
      </w:r>
    </w:p>
    <w:p w:rsidR="00C57BE2" w:rsidRPr="008610BE" w:rsidRDefault="00C57BE2" w:rsidP="008A5D2D">
      <w:pPr>
        <w:spacing w:after="0" w:line="360" w:lineRule="auto"/>
        <w:ind w:firstLine="567"/>
        <w:jc w:val="both"/>
        <w:rPr>
          <w:rtl/>
        </w:rPr>
      </w:pPr>
      <w:r w:rsidRPr="008610BE">
        <w:rPr>
          <w:rtl/>
        </w:rPr>
        <w:t xml:space="preserve">فإن هجر الزوجة في المضجع لا يتحقق بهجر الفراش، ولا بهجر الحجرة التي يكون فيها الاضطجاع، وإنما يتحقق بهجره الفراش وهو عدم الجماع، وذلك ليثبت للزوجة الناشزة أنه لا يعبأ بسلاح جمالها إذا كانت غير مطيعة فتتراجع عن سلوكها وتتنزل على كبريائها، وهناك من يرى من الفقهاء أن </w:t>
      </w:r>
      <w:proofErr w:type="spellStart"/>
      <w:r w:rsidRPr="008610BE">
        <w:rPr>
          <w:rtl/>
        </w:rPr>
        <w:t>بهجرفراشها</w:t>
      </w:r>
      <w:proofErr w:type="spellEnd"/>
      <w:r w:rsidRPr="008610BE">
        <w:rPr>
          <w:rtl/>
        </w:rPr>
        <w:t xml:space="preserve"> وحجرها ومحل مبيتها زيادة في التأديب، فقد قال النووي: "هو الإعراض عنها، وألا يضاجعها في فراش أو يوليها ظهره فيه أو يعتزلها في بيت غيره"</w:t>
      </w:r>
      <w:r w:rsidRPr="008610BE">
        <w:rPr>
          <w:rStyle w:val="Appelnotedebasdep"/>
          <w:rtl/>
        </w:rPr>
        <w:footnoteReference w:id="162"/>
      </w:r>
      <w:r w:rsidRPr="008610BE">
        <w:rPr>
          <w:rtl/>
        </w:rPr>
        <w:t>.</w:t>
      </w:r>
    </w:p>
    <w:p w:rsidR="00C57BE2" w:rsidRPr="008610BE" w:rsidRDefault="00C57BE2" w:rsidP="008A5D2D">
      <w:pPr>
        <w:spacing w:after="0" w:line="360" w:lineRule="auto"/>
        <w:ind w:firstLine="567"/>
        <w:jc w:val="both"/>
        <w:rPr>
          <w:rtl/>
        </w:rPr>
      </w:pPr>
      <w:r w:rsidRPr="008610BE">
        <w:rPr>
          <w:rtl/>
        </w:rPr>
        <w:t>واعتماد هجر الفراش أو الحجرة محل مبيتها زيادة في العقوبة لم يأذن بها الله تعالى لأنها ربما تكون سبباً في زيادة الجفوة بين الزوجين، أما الاجتماع في المضجع فهو الذي يهيج شعور الزوجية فتسكن نفس كل من الزوجين إلى الآخر ويزول اضطرابهما الذي أثارته الحوادث قبل ذلك</w:t>
      </w:r>
      <w:r w:rsidRPr="008610BE">
        <w:rPr>
          <w:rStyle w:val="Appelnotedebasdep"/>
          <w:rtl/>
        </w:rPr>
        <w:footnoteReference w:id="163"/>
      </w:r>
      <w:r w:rsidRPr="008610BE">
        <w:rPr>
          <w:rtl/>
        </w:rPr>
        <w:t xml:space="preserve">. </w:t>
      </w:r>
    </w:p>
    <w:p w:rsidR="00C57BE2" w:rsidRPr="008610BE" w:rsidRDefault="00C57BE2" w:rsidP="008A5D2D">
      <w:pPr>
        <w:spacing w:after="0" w:line="360" w:lineRule="auto"/>
        <w:ind w:firstLine="567"/>
        <w:jc w:val="both"/>
        <w:rPr>
          <w:rtl/>
        </w:rPr>
      </w:pPr>
      <w:r w:rsidRPr="008610BE">
        <w:rPr>
          <w:b/>
          <w:bCs/>
          <w:rtl/>
        </w:rPr>
        <w:lastRenderedPageBreak/>
        <w:t>- الضرب غير المبرح:</w:t>
      </w:r>
      <w:r w:rsidRPr="008610BE">
        <w:rPr>
          <w:rtl/>
        </w:rPr>
        <w:t xml:space="preserve"> لا يلجأ الزوج إلى الضرب كوسيلة لعلاج نشوز زوجته إلا إذا تعذر عليه إصلاحها بالموعظة الحسنة أو الهجر في المضجع، وهذا للارتقاء بالأسرة</w:t>
      </w:r>
      <w:r w:rsidRPr="008610BE">
        <w:rPr>
          <w:rStyle w:val="Appelnotedebasdep"/>
          <w:rtl/>
        </w:rPr>
        <w:footnoteReference w:id="164"/>
      </w:r>
      <w:r w:rsidRPr="008610BE">
        <w:rPr>
          <w:rtl/>
        </w:rPr>
        <w:t>.</w:t>
      </w:r>
    </w:p>
    <w:p w:rsidR="00C57BE2" w:rsidRPr="008610BE" w:rsidRDefault="00C57BE2" w:rsidP="008A5D2D">
      <w:pPr>
        <w:spacing w:after="0" w:line="360" w:lineRule="auto"/>
        <w:ind w:firstLine="567"/>
        <w:jc w:val="both"/>
        <w:rPr>
          <w:rtl/>
        </w:rPr>
      </w:pPr>
      <w:r w:rsidRPr="008610BE">
        <w:rPr>
          <w:rtl/>
        </w:rPr>
        <w:t>وقد استدل الفقهاء والعلماء على مشروعية الضرب للزوجة الناشزة بالقرآن والسنة والمعقول، استدلوا بقوله تعالى: "وَاللاتِي تَخَافُونَ نُشُوزَهُنَّ فَعِظُوهُنَّ وَاهْجُرُوهُنَّ فِي الْمَضَاجِعِ وَاضْرِبُوهُنَّ"</w:t>
      </w:r>
      <w:r w:rsidRPr="008610BE">
        <w:rPr>
          <w:rStyle w:val="Appelnotedebasdep"/>
          <w:rtl/>
        </w:rPr>
        <w:footnoteReference w:id="165"/>
      </w:r>
      <w:r w:rsidRPr="008610BE">
        <w:rPr>
          <w:rtl/>
        </w:rPr>
        <w:t>.</w:t>
      </w:r>
    </w:p>
    <w:p w:rsidR="00C57BE2" w:rsidRPr="008610BE" w:rsidRDefault="00C57BE2" w:rsidP="008A5D2D">
      <w:pPr>
        <w:spacing w:after="0" w:line="360" w:lineRule="auto"/>
        <w:ind w:firstLine="567"/>
        <w:jc w:val="both"/>
        <w:rPr>
          <w:rtl/>
        </w:rPr>
      </w:pPr>
      <w:r w:rsidRPr="008610BE">
        <w:rPr>
          <w:rtl/>
        </w:rPr>
        <w:t>إن الله سبحانه وتعالى قد أرشد الأزواج عند خوف نشوز أزواجهن بمعاقبتهن بإحدى الوسائل الثلاثة، بالموعظة الحسنة أولاً، ثم بالهجر في المضاجع، فإن لم ينجحا، فإن الله قد شرع ضرب الزوجة الناشزة، فإنه هو الذي يصلحها ويحملها على توفيته حقه.</w:t>
      </w:r>
    </w:p>
    <w:p w:rsidR="00C57BE2" w:rsidRPr="008610BE" w:rsidRDefault="00C57BE2" w:rsidP="008A5D2D">
      <w:pPr>
        <w:spacing w:after="0" w:line="360" w:lineRule="auto"/>
        <w:ind w:firstLine="567"/>
        <w:jc w:val="both"/>
        <w:rPr>
          <w:rtl/>
        </w:rPr>
      </w:pPr>
      <w:r w:rsidRPr="008610BE">
        <w:rPr>
          <w:rtl/>
        </w:rPr>
        <w:t>أما السنة المطهرة فقد جاء فيما روى عن جابر بن عبد الله عن النبي صلى الله عليه وسلم أنه خطب بعرفات في بطن الوادي فقال: "اتقوا الله في النساء فإنكم أقدمتموهن بأمانة الله، واستحللتم فروجهن بكلمة الله، وإن لكم عليهن ألا يوطئن فرشكم أحداً تكرهونه، فإن فعلن فاضربوهن ضرباً غير مبرح، ولهن عليكم رزقهن وكسوتهن بالمعروف"</w:t>
      </w:r>
      <w:r w:rsidRPr="008610BE">
        <w:rPr>
          <w:rStyle w:val="Appelnotedebasdep"/>
          <w:rtl/>
        </w:rPr>
        <w:footnoteReference w:id="166"/>
      </w:r>
      <w:r w:rsidRPr="008610BE">
        <w:rPr>
          <w:rtl/>
        </w:rPr>
        <w:t xml:space="preserve">. </w:t>
      </w:r>
    </w:p>
    <w:p w:rsidR="00C57BE2" w:rsidRPr="008610BE" w:rsidRDefault="00C57BE2" w:rsidP="008A5D2D">
      <w:pPr>
        <w:spacing w:after="0" w:line="360" w:lineRule="auto"/>
        <w:ind w:firstLine="567"/>
        <w:jc w:val="both"/>
        <w:rPr>
          <w:rtl/>
        </w:rPr>
      </w:pPr>
      <w:r w:rsidRPr="008610BE">
        <w:rPr>
          <w:rtl/>
        </w:rPr>
        <w:t>فقد دل الحديث أن الزوج يباح له أن يقوم بتأديب زوجته الناشزة بالضرب غير المبرح وهذا إن لم ينفع معها الوعظ والهجر.</w:t>
      </w:r>
    </w:p>
    <w:p w:rsidR="00C57BE2" w:rsidRPr="008610BE" w:rsidRDefault="00C57BE2" w:rsidP="008A5D2D">
      <w:pPr>
        <w:spacing w:after="0" w:line="360" w:lineRule="auto"/>
        <w:ind w:firstLine="567"/>
        <w:jc w:val="both"/>
        <w:rPr>
          <w:rtl/>
        </w:rPr>
      </w:pPr>
      <w:r w:rsidRPr="008610BE">
        <w:rPr>
          <w:rtl/>
        </w:rPr>
        <w:lastRenderedPageBreak/>
        <w:t xml:space="preserve">أما المعقول أنه يجب أن تقوم بهذا الحق عن رضا وطيب نفس لأن هذا هو الذي </w:t>
      </w:r>
      <w:proofErr w:type="spellStart"/>
      <w:r w:rsidRPr="008610BE">
        <w:rPr>
          <w:rtl/>
        </w:rPr>
        <w:t>تقتضيه</w:t>
      </w:r>
      <w:proofErr w:type="spellEnd"/>
      <w:r w:rsidRPr="008610BE">
        <w:rPr>
          <w:rtl/>
        </w:rPr>
        <w:t xml:space="preserve"> حسن المعاشرة بالمعروف، ألا يجوز تعزير الزوجة إنما بضرب مخوف فقط</w:t>
      </w:r>
      <w:r w:rsidRPr="008610BE">
        <w:rPr>
          <w:rStyle w:val="Appelnotedebasdep"/>
          <w:rtl/>
        </w:rPr>
        <w:footnoteReference w:id="167"/>
      </w:r>
      <w:r w:rsidRPr="008610BE">
        <w:rPr>
          <w:rtl/>
        </w:rPr>
        <w:t>.</w:t>
      </w:r>
    </w:p>
    <w:p w:rsidR="00C57BE2" w:rsidRPr="008610BE" w:rsidRDefault="00C57BE2" w:rsidP="008A5D2D">
      <w:pPr>
        <w:spacing w:after="0" w:line="360" w:lineRule="auto"/>
        <w:ind w:firstLine="567"/>
        <w:jc w:val="both"/>
        <w:outlineLvl w:val="1"/>
        <w:rPr>
          <w:rtl/>
        </w:rPr>
      </w:pPr>
      <w:bookmarkStart w:id="86" w:name="_Toc461013655"/>
      <w:r w:rsidRPr="008610BE">
        <w:rPr>
          <w:b/>
          <w:bCs/>
          <w:rtl/>
        </w:rPr>
        <w:t>المطلب الثالث</w:t>
      </w:r>
      <w:r>
        <w:rPr>
          <w:rtl/>
        </w:rPr>
        <w:t>: الآثار المترتبة عن النشوز</w:t>
      </w:r>
      <w:bookmarkEnd w:id="86"/>
    </w:p>
    <w:p w:rsidR="00C57BE2" w:rsidRPr="008610BE" w:rsidRDefault="00C57BE2" w:rsidP="008A5D2D">
      <w:pPr>
        <w:spacing w:after="0" w:line="360" w:lineRule="auto"/>
        <w:ind w:firstLine="567"/>
        <w:jc w:val="both"/>
        <w:rPr>
          <w:rtl/>
        </w:rPr>
      </w:pPr>
      <w:r w:rsidRPr="008610BE">
        <w:rPr>
          <w:rtl/>
        </w:rPr>
        <w:t>يترتب عن نشوز أحد الزوجين آثار هامة على الطرف الآخر أي الزوج المضرور سواء كانت هذه الآثار مادية أو نفسية خاصة إذا لجأ أحدهما إلى القضاء من أجل فك الرابطة الزوجية نظراً لعدم جدوى كل الطرق الودية والقضائية (الصلح والتحكيم) فمن آثار النشوز:</w:t>
      </w:r>
    </w:p>
    <w:p w:rsidR="00C57BE2" w:rsidRPr="008610BE" w:rsidRDefault="00C57BE2" w:rsidP="008A5D2D">
      <w:pPr>
        <w:spacing w:after="0" w:line="360" w:lineRule="auto"/>
        <w:ind w:firstLine="567"/>
        <w:jc w:val="both"/>
        <w:rPr>
          <w:rtl/>
        </w:rPr>
      </w:pPr>
      <w:r w:rsidRPr="008610BE">
        <w:rPr>
          <w:b/>
          <w:bCs/>
          <w:rtl/>
        </w:rPr>
        <w:t>- حق التعويض:</w:t>
      </w:r>
      <w:r w:rsidRPr="008610BE">
        <w:rPr>
          <w:rtl/>
        </w:rPr>
        <w:t xml:space="preserve">  يكون في حالة الطلاق التعسفي المنصوص عليها في المادة 52 من قانون الأسرة الجزائري، فمن شروطه أن يكون الزوج متعسفاً في طلبه الرامي إلى إيقاع الطلاق، فإذا استعمل الزوج حقه في الطلاق على الوجه الذي يلحق الضرر بالزوجة فإنه متعسف ووجب أن يقدم التعويض للزوجة.</w:t>
      </w:r>
    </w:p>
    <w:p w:rsidR="00C57BE2" w:rsidRPr="008610BE" w:rsidRDefault="00C57BE2" w:rsidP="008A5D2D">
      <w:pPr>
        <w:spacing w:after="0" w:line="360" w:lineRule="auto"/>
        <w:ind w:firstLine="567"/>
        <w:jc w:val="both"/>
        <w:rPr>
          <w:rtl/>
        </w:rPr>
      </w:pPr>
      <w:r w:rsidRPr="008610BE">
        <w:rPr>
          <w:rtl/>
        </w:rPr>
        <w:t xml:space="preserve">- </w:t>
      </w:r>
      <w:r w:rsidRPr="008610BE">
        <w:rPr>
          <w:b/>
          <w:bCs/>
          <w:rtl/>
        </w:rPr>
        <w:t>حق النفقة:</w:t>
      </w:r>
      <w:r w:rsidRPr="008610BE">
        <w:rPr>
          <w:rtl/>
        </w:rPr>
        <w:t xml:space="preserve"> لابد على الزوج من الإنفاق على زوجته، فإن كانت ناشزاً وصدر حكم بالرجوع إلى بيت الزوجية ومع ذلك لم تمثل، فيمكن للزوج أن يتوقف عن الانفاق عليها لأن القانون جعل النفقة واجبة على الزوج بالدخول أو بالعودة إليه، وهذا ما نصت عليه المادة 74 من قانون الأسرة.</w:t>
      </w:r>
    </w:p>
    <w:p w:rsidR="00C57BE2" w:rsidRPr="008610BE" w:rsidRDefault="00C57BE2" w:rsidP="008A5D2D">
      <w:pPr>
        <w:spacing w:after="0" w:line="360" w:lineRule="auto"/>
        <w:ind w:firstLine="567"/>
        <w:jc w:val="both"/>
        <w:rPr>
          <w:rtl/>
        </w:rPr>
      </w:pPr>
      <w:r w:rsidRPr="008610BE">
        <w:rPr>
          <w:rtl/>
        </w:rPr>
        <w:lastRenderedPageBreak/>
        <w:t xml:space="preserve">- </w:t>
      </w:r>
      <w:r w:rsidRPr="008610BE">
        <w:rPr>
          <w:b/>
          <w:bCs/>
          <w:rtl/>
        </w:rPr>
        <w:t>حق الحضانة:</w:t>
      </w:r>
      <w:r w:rsidRPr="008610BE">
        <w:rPr>
          <w:rtl/>
        </w:rPr>
        <w:t xml:space="preserve"> وضع المشرع عدة شروط للحاضن لكن لم يبين حالة النشوز في هاته الشروط، فلابد أن تستند إلى نص المادة 222 من قانون الأسرة، أي لابد من الرجوع إلى أحكام الشريعة الإسلامية.</w:t>
      </w:r>
    </w:p>
    <w:p w:rsidR="00C57BE2" w:rsidRDefault="00C57BE2" w:rsidP="00205FA4">
      <w:pPr>
        <w:spacing w:after="0" w:line="360" w:lineRule="auto"/>
        <w:ind w:firstLine="567"/>
        <w:rPr>
          <w:rtl/>
        </w:rPr>
        <w:sectPr w:rsidR="00C57BE2" w:rsidSect="004A2766">
          <w:headerReference w:type="default" r:id="rId23"/>
          <w:footerReference w:type="default" r:id="rId24"/>
          <w:footnotePr>
            <w:numRestart w:val="eachPage"/>
          </w:footnotePr>
          <w:pgSz w:w="11906" w:h="16838"/>
          <w:pgMar w:top="1134" w:right="1701" w:bottom="1134" w:left="1134" w:header="709" w:footer="709" w:gutter="0"/>
          <w:cols w:space="708"/>
          <w:bidi/>
          <w:rtlGutter/>
          <w:docGrid w:linePitch="435"/>
        </w:sectPr>
      </w:pPr>
      <w:r w:rsidRPr="008610BE">
        <w:rPr>
          <w:rtl/>
        </w:rPr>
        <w:t>فإن نشوز الزوجين يؤدي إلى عدم استقرار العائلة، فهو خطر يحدق بالأسرة في كل حين ولحظة، فسواء كان النشوز من الزوج أو الزوجة، فلابد من تفاديه بإرساء قواعد الألفة والمحبة بين أفراد الأسرة</w:t>
      </w:r>
      <w:r w:rsidR="00643130">
        <w:rPr>
          <w:rStyle w:val="Appelnotedebasdep"/>
          <w:rtl/>
        </w:rPr>
        <w:footnoteReference w:id="168"/>
      </w:r>
      <w:r w:rsidRPr="008610BE">
        <w:rPr>
          <w:rtl/>
        </w:rPr>
        <w:t xml:space="preserve">. </w:t>
      </w:r>
    </w:p>
    <w:p w:rsidR="00C57BE2" w:rsidRPr="008610BE" w:rsidRDefault="00C57BE2" w:rsidP="008A5D2D">
      <w:pPr>
        <w:spacing w:after="0" w:line="360" w:lineRule="auto"/>
        <w:ind w:firstLine="567"/>
        <w:jc w:val="both"/>
        <w:rPr>
          <w:rtl/>
        </w:rPr>
      </w:pPr>
    </w:p>
    <w:p w:rsidR="00C57BE2" w:rsidRDefault="00C57BE2" w:rsidP="008A5D2D">
      <w:pPr>
        <w:tabs>
          <w:tab w:val="left" w:pos="3641"/>
        </w:tabs>
        <w:spacing w:before="240" w:after="0" w:line="240" w:lineRule="auto"/>
        <w:jc w:val="both"/>
        <w:rPr>
          <w:rFonts w:eastAsia="Calibri"/>
          <w:b/>
          <w:bCs/>
          <w:sz w:val="28"/>
          <w:szCs w:val="28"/>
          <w:rtl/>
        </w:rPr>
      </w:pPr>
      <w:r>
        <w:rPr>
          <w:rFonts w:eastAsia="Calibri"/>
          <w:b/>
          <w:bCs/>
          <w:sz w:val="28"/>
          <w:szCs w:val="28"/>
          <w:rtl/>
        </w:rPr>
        <w:tab/>
      </w:r>
    </w:p>
    <w:p w:rsidR="00C57BE2" w:rsidRPr="002804B8" w:rsidRDefault="00C57BE2" w:rsidP="008A5D2D">
      <w:pPr>
        <w:tabs>
          <w:tab w:val="left" w:pos="2168"/>
        </w:tabs>
        <w:spacing w:before="240" w:after="0" w:line="240" w:lineRule="auto"/>
        <w:jc w:val="both"/>
        <w:rPr>
          <w:rFonts w:eastAsia="Calibri"/>
          <w:b/>
          <w:bCs/>
          <w:sz w:val="28"/>
          <w:szCs w:val="28"/>
          <w:rtl/>
        </w:rPr>
      </w:pPr>
      <w:r>
        <w:rPr>
          <w:rFonts w:eastAsia="Calibri"/>
          <w:b/>
          <w:bCs/>
          <w:noProof/>
          <w:sz w:val="28"/>
          <w:szCs w:val="28"/>
          <w:lang w:eastAsia="fr-FR" w:bidi="ar-SA"/>
        </w:rPr>
        <w:drawing>
          <wp:anchor distT="0" distB="0" distL="114300" distR="114300" simplePos="0" relativeHeight="251679744" behindDoc="0" locked="0" layoutInCell="1" allowOverlap="1">
            <wp:simplePos x="0" y="0"/>
            <wp:positionH relativeFrom="margin">
              <wp:posOffset>416560</wp:posOffset>
            </wp:positionH>
            <wp:positionV relativeFrom="paragraph">
              <wp:posOffset>173990</wp:posOffset>
            </wp:positionV>
            <wp:extent cx="4799965" cy="709930"/>
            <wp:effectExtent l="95250" t="0" r="305435" b="204470"/>
            <wp:wrapNone/>
            <wp:docPr id="44"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C57BE2" w:rsidRPr="002804B8" w:rsidRDefault="00C57BE2" w:rsidP="008A5D2D">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BB7C56" w:rsidP="008A5D2D">
      <w:pPr>
        <w:tabs>
          <w:tab w:val="left" w:pos="2168"/>
        </w:tabs>
        <w:spacing w:before="240" w:after="0" w:line="240" w:lineRule="auto"/>
        <w:jc w:val="both"/>
        <w:rPr>
          <w:rFonts w:eastAsia="Calibri"/>
          <w:b/>
          <w:bCs/>
          <w:sz w:val="28"/>
          <w:szCs w:val="28"/>
          <w:rtl/>
        </w:rPr>
      </w:pPr>
      <w:r>
        <w:rPr>
          <w:rFonts w:asciiTheme="minorHAnsi" w:hAnsiTheme="minorHAnsi" w:cstheme="minorBidi"/>
          <w:noProof/>
          <w:sz w:val="22"/>
          <w:szCs w:val="22"/>
          <w:rtl/>
          <w:lang w:val="en-US" w:bidi="ar-SA"/>
        </w:rPr>
        <w:pict>
          <v:roundrect id="مستطيل مستدير الزوايا 43" o:spid="_x0000_s1033" style="position:absolute;left:0;text-align:left;margin-left:0;margin-top:16.55pt;width:410.25pt;height:195.25pt;z-index:251675648;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" fillcolor="white [3201]" strokecolor="black [3200]" strokeweight="5pt">
            <v:stroke linestyle="thickThin"/>
            <v:shadow color="#868686"/>
            <v:textbox>
              <w:txbxContent>
                <w:p w:rsidR="0012210E" w:rsidRPr="00C4657A" w:rsidRDefault="0012210E" w:rsidP="008A5D2D">
                  <w:pPr>
                    <w:spacing w:after="0" w:line="240" w:lineRule="auto"/>
                    <w:jc w:val="center"/>
                    <w:outlineLvl w:val="0"/>
                    <w:rPr>
                      <w:sz w:val="144"/>
                      <w:szCs w:val="144"/>
                      <w:rtl/>
                    </w:rPr>
                  </w:pPr>
                  <w:bookmarkStart w:id="87" w:name="_Toc461013656"/>
                  <w:r>
                    <w:rPr>
                      <w:rFonts w:hint="cs"/>
                      <w:sz w:val="144"/>
                      <w:szCs w:val="144"/>
                      <w:rtl/>
                    </w:rPr>
                    <w:t>ال</w:t>
                  </w:r>
                  <w:r w:rsidRPr="00C4657A">
                    <w:rPr>
                      <w:sz w:val="144"/>
                      <w:szCs w:val="144"/>
                      <w:rtl/>
                    </w:rPr>
                    <w:t>خاتمة</w:t>
                  </w:r>
                  <w:bookmarkEnd w:id="87"/>
                </w:p>
              </w:txbxContent>
            </v:textbox>
            <w10:wrap anchorx="margin"/>
          </v:roundrect>
        </w:pict>
      </w:r>
    </w:p>
    <w:p w:rsidR="00C57BE2" w:rsidRPr="00A87340" w:rsidRDefault="00C57BE2" w:rsidP="008A5D2D">
      <w:pPr>
        <w:tabs>
          <w:tab w:val="left" w:pos="2168"/>
        </w:tabs>
        <w:spacing w:before="240" w:after="0" w:line="240" w:lineRule="auto"/>
        <w:jc w:val="both"/>
        <w:rPr>
          <w:rFonts w:eastAsia="Calibri"/>
          <w:sz w:val="28"/>
          <w:szCs w:val="28"/>
          <w:rtl/>
        </w:rPr>
      </w:pPr>
    </w:p>
    <w:p w:rsidR="00C57BE2" w:rsidRPr="002804B8" w:rsidRDefault="00C57BE2" w:rsidP="008A5D2D">
      <w:pPr>
        <w:tabs>
          <w:tab w:val="left" w:pos="1841"/>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r>
        <w:rPr>
          <w:rFonts w:eastAsia="Calibri"/>
          <w:b/>
          <w:bCs/>
          <w:noProof/>
          <w:sz w:val="28"/>
          <w:szCs w:val="28"/>
          <w:lang w:eastAsia="fr-FR" w:bidi="ar-SA"/>
        </w:rPr>
        <w:drawing>
          <wp:anchor distT="0" distB="0" distL="114300" distR="114300" simplePos="0" relativeHeight="251677696" behindDoc="0" locked="0" layoutInCell="1" allowOverlap="1">
            <wp:simplePos x="0" y="0"/>
            <wp:positionH relativeFrom="margin">
              <wp:align>center</wp:align>
            </wp:positionH>
            <wp:positionV relativeFrom="paragraph">
              <wp:posOffset>234315</wp:posOffset>
            </wp:positionV>
            <wp:extent cx="4799965" cy="709930"/>
            <wp:effectExtent l="114300" t="19050" r="286385" b="166370"/>
            <wp:wrapNone/>
            <wp:docPr id="41"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C57BE2" w:rsidRPr="002804B8" w:rsidRDefault="00C57BE2" w:rsidP="008A5D2D">
      <w:pPr>
        <w:spacing w:after="0" w:line="240" w:lineRule="auto"/>
        <w:jc w:val="both"/>
        <w:rPr>
          <w:b/>
          <w:bCs/>
          <w:rtl/>
        </w:rPr>
      </w:pPr>
    </w:p>
    <w:p w:rsidR="00C57BE2" w:rsidRDefault="00C57BE2" w:rsidP="008A5D2D">
      <w:pPr>
        <w:spacing w:after="0" w:line="240" w:lineRule="auto"/>
        <w:jc w:val="both"/>
        <w:rPr>
          <w:b/>
          <w:bCs/>
          <w:rtl/>
        </w:rPr>
      </w:pPr>
    </w:p>
    <w:p w:rsidR="00C57BE2"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5E4187" w:rsidRDefault="00C57BE2" w:rsidP="008A5D2D">
      <w:pPr>
        <w:spacing w:after="0" w:line="240" w:lineRule="auto"/>
        <w:jc w:val="both"/>
      </w:pPr>
    </w:p>
    <w:p w:rsidR="00C57BE2" w:rsidRDefault="00C57BE2" w:rsidP="008A5D2D">
      <w:pPr>
        <w:spacing w:after="0" w:line="360" w:lineRule="auto"/>
        <w:ind w:firstLine="566"/>
        <w:jc w:val="both"/>
        <w:rPr>
          <w:sz w:val="40"/>
          <w:szCs w:val="40"/>
          <w:rtl/>
        </w:rPr>
      </w:pPr>
    </w:p>
    <w:p w:rsidR="00C57BE2" w:rsidRDefault="00C57BE2" w:rsidP="008A5D2D">
      <w:pPr>
        <w:spacing w:after="0" w:line="360" w:lineRule="auto"/>
        <w:ind w:firstLine="566"/>
        <w:jc w:val="both"/>
        <w:rPr>
          <w:sz w:val="40"/>
          <w:szCs w:val="40"/>
          <w:rtl/>
        </w:rPr>
        <w:sectPr w:rsidR="00C57BE2" w:rsidSect="004A2766">
          <w:headerReference w:type="default" r:id="rId25"/>
          <w:footerReference w:type="default" r:id="rId26"/>
          <w:footnotePr>
            <w:numRestart w:val="eachPage"/>
          </w:footnotePr>
          <w:pgSz w:w="11906" w:h="16838"/>
          <w:pgMar w:top="1134" w:right="1701" w:bottom="1134" w:left="1134" w:header="709" w:footer="709" w:gutter="0"/>
          <w:cols w:space="708"/>
          <w:bidi/>
          <w:rtlGutter/>
          <w:docGrid w:linePitch="435"/>
        </w:sectPr>
      </w:pPr>
    </w:p>
    <w:p w:rsidR="00C57BE2" w:rsidRDefault="00C57BE2" w:rsidP="008A5D2D">
      <w:pPr>
        <w:spacing w:line="360" w:lineRule="auto"/>
        <w:ind w:firstLine="708"/>
        <w:jc w:val="both"/>
        <w:rPr>
          <w:rtl/>
        </w:rPr>
      </w:pPr>
      <w:r>
        <w:rPr>
          <w:rFonts w:hint="cs"/>
          <w:rtl/>
        </w:rPr>
        <w:lastRenderedPageBreak/>
        <w:t xml:space="preserve">من خلال ما تقدم تبين أن نظام الصلح بين الزوجين يكتسي أهمية بالغة في الحفاظ على العلاقة الزوجية من الانحلال وهذا ما رأيناه في الفقه والقانون من خلال حرصهما على تفادي انحلال العلاقة الزوجية، وهذا بعرض الصلح بين الزوجين قبل الذهاب إلى القضاء عن طريق حكمين يقومان بالتوفيق بين الزوجين والإصلاح بينهما، غير أنه إذا فشل الحكمان فإن القاضي ملزم بعرض الصلح على الزوجين في حالة الطلاق، وهذا يشكل مرحلة ثانية في الصلح بين الزوجين فيتدخل القاضي شخصيا ليعرض الصلح مرة ثانية على الزوجين ويسعى للإصلاح بينهما وهذا ما نص عليه المشرع الجزائري، فهي طريقة لا يستهان بها للصلح في الطلاق فهي تلعب دورا هاما في تفادي حل عقدة النكاح خصوصا إذا كان القاضي مقتنعا بدوره في ذلك وجادا فيه. </w:t>
      </w:r>
    </w:p>
    <w:p w:rsidR="00C57BE2" w:rsidRDefault="00C57BE2" w:rsidP="008A5D2D">
      <w:pPr>
        <w:spacing w:line="360" w:lineRule="auto"/>
        <w:jc w:val="both"/>
        <w:rPr>
          <w:rtl/>
        </w:rPr>
      </w:pPr>
      <w:r>
        <w:rPr>
          <w:rFonts w:hint="cs"/>
          <w:rtl/>
        </w:rPr>
        <w:t>وقد توصلنا في بحثنا هذا للنتائج التالية:</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sidRPr="0094532B">
        <w:rPr>
          <w:rFonts w:ascii="Simplified Arabic" w:hAnsi="Simplified Arabic" w:cs="Simplified Arabic" w:hint="cs"/>
          <w:sz w:val="32"/>
          <w:szCs w:val="32"/>
          <w:rtl/>
          <w:lang w:bidi="ar-DZ"/>
        </w:rPr>
        <w:t>يعتبر الصلح بين الزوجين من أهم السبل للمحافظة على العلاقة الزوجية</w:t>
      </w:r>
      <w:r>
        <w:rPr>
          <w:rFonts w:ascii="Simplified Arabic" w:hAnsi="Simplified Arabic" w:cs="Simplified Arabic" w:hint="cs"/>
          <w:sz w:val="32"/>
          <w:szCs w:val="32"/>
          <w:rtl/>
          <w:lang w:bidi="ar-DZ"/>
        </w:rPr>
        <w:t>.</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sidRPr="0094532B">
        <w:rPr>
          <w:rFonts w:ascii="Simplified Arabic" w:hAnsi="Simplified Arabic" w:cs="Simplified Arabic" w:hint="cs"/>
          <w:sz w:val="32"/>
          <w:szCs w:val="32"/>
          <w:rtl/>
          <w:lang w:bidi="ar-DZ"/>
        </w:rPr>
        <w:t>يعتبر الصلح من العقود المهمة والمفيدة وذلك لحرصه على المحافظة على العلاقة الزوجية سواء في الفقه أو القانون</w:t>
      </w:r>
      <w:r>
        <w:rPr>
          <w:rFonts w:ascii="Simplified Arabic" w:hAnsi="Simplified Arabic" w:cs="Simplified Arabic" w:hint="cs"/>
          <w:sz w:val="32"/>
          <w:szCs w:val="32"/>
          <w:rtl/>
          <w:lang w:bidi="ar-DZ"/>
        </w:rPr>
        <w:t>.</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يتميز عقد الصلح بجملة من الخصائص ينفرد بها وحده وقد تكون هاته الخصائص مظاهر </w:t>
      </w:r>
      <w:proofErr w:type="spellStart"/>
      <w:r>
        <w:rPr>
          <w:rFonts w:ascii="Simplified Arabic" w:hAnsi="Simplified Arabic" w:cs="Simplified Arabic" w:hint="cs"/>
          <w:sz w:val="32"/>
          <w:szCs w:val="32"/>
          <w:rtl/>
          <w:lang w:bidi="ar-DZ"/>
        </w:rPr>
        <w:t>للإختلاف</w:t>
      </w:r>
      <w:proofErr w:type="spellEnd"/>
      <w:r>
        <w:rPr>
          <w:rFonts w:ascii="Simplified Arabic" w:hAnsi="Simplified Arabic" w:cs="Simplified Arabic" w:hint="cs"/>
          <w:sz w:val="32"/>
          <w:szCs w:val="32"/>
          <w:rtl/>
          <w:lang w:bidi="ar-DZ"/>
        </w:rPr>
        <w:t xml:space="preserve"> مع عقود أخرى</w:t>
      </w:r>
      <w:r w:rsidR="00643130">
        <w:rPr>
          <w:rFonts w:ascii="Simplified Arabic" w:hAnsi="Simplified Arabic" w:cs="Simplified Arabic" w:hint="cs"/>
          <w:sz w:val="32"/>
          <w:szCs w:val="32"/>
          <w:rtl/>
          <w:lang w:bidi="ar-DZ"/>
        </w:rPr>
        <w:t xml:space="preserve"> مثلا عقد الصلح بدون مقابل لكن هناك عقود تتم بدون مقابل</w:t>
      </w:r>
      <w:r>
        <w:rPr>
          <w:rFonts w:ascii="Simplified Arabic" w:hAnsi="Simplified Arabic" w:cs="Simplified Arabic" w:hint="cs"/>
          <w:sz w:val="32"/>
          <w:szCs w:val="32"/>
          <w:rtl/>
          <w:lang w:bidi="ar-DZ"/>
        </w:rPr>
        <w:t>.</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lastRenderedPageBreak/>
        <w:t>المشرع لم يبين أحكام الصلح بين الزوجين وكيفية تطبيقها وإجراءاتها عند حدوث الشقاق أو النشوز أو الطلاق بين الزوجين.</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لم يبين المشرع الجزائري أحكام التحكيم والإجراءات التي يسلكها الحكمان في عملهم.</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المشرع أهمل عدة مسائل في أحكام محاولة الصلح التي يعقدها القاضي بين الزوجين في الطلاق منها إلزامية محاولة الصلح.</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الكثير من القضاة لا يعطي لمحاولة الصلح بين الزوجين أهمية كبيرة ويعتبرها </w:t>
      </w:r>
      <w:proofErr w:type="spellStart"/>
      <w:r>
        <w:rPr>
          <w:rFonts w:ascii="Simplified Arabic" w:hAnsi="Simplified Arabic" w:cs="Simplified Arabic" w:hint="cs"/>
          <w:sz w:val="32"/>
          <w:szCs w:val="32"/>
          <w:rtl/>
          <w:lang w:bidi="ar-DZ"/>
        </w:rPr>
        <w:t>إجراءا</w:t>
      </w:r>
      <w:proofErr w:type="spellEnd"/>
      <w:r>
        <w:rPr>
          <w:rFonts w:ascii="Simplified Arabic" w:hAnsi="Simplified Arabic" w:cs="Simplified Arabic" w:hint="cs"/>
          <w:sz w:val="32"/>
          <w:szCs w:val="32"/>
          <w:rtl/>
          <w:lang w:bidi="ar-DZ"/>
        </w:rPr>
        <w:t xml:space="preserve"> شكليا فقط يستلزم استيفاؤه للحكم بالطلاق.</w:t>
      </w:r>
    </w:p>
    <w:p w:rsidR="00C57BE2" w:rsidRDefault="00C57BE2" w:rsidP="008A5D2D">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كذلك المشرع لم يعطي أهمية كبيرة لمحاولة الصلح في حالة النشوز ولم يبين حالات النشوز والإجراءات الواجب </w:t>
      </w:r>
      <w:proofErr w:type="spellStart"/>
      <w:r>
        <w:rPr>
          <w:rFonts w:ascii="Simplified Arabic" w:hAnsi="Simplified Arabic" w:cs="Simplified Arabic" w:hint="cs"/>
          <w:sz w:val="32"/>
          <w:szCs w:val="32"/>
          <w:rtl/>
          <w:lang w:bidi="ar-DZ"/>
        </w:rPr>
        <w:t>إتخاذها</w:t>
      </w:r>
      <w:proofErr w:type="spellEnd"/>
      <w:r>
        <w:rPr>
          <w:rFonts w:ascii="Simplified Arabic" w:hAnsi="Simplified Arabic" w:cs="Simplified Arabic" w:hint="cs"/>
          <w:sz w:val="32"/>
          <w:szCs w:val="32"/>
          <w:rtl/>
          <w:lang w:bidi="ar-DZ"/>
        </w:rPr>
        <w:t xml:space="preserve"> عند النشوز.</w:t>
      </w:r>
    </w:p>
    <w:p w:rsidR="00643130" w:rsidRDefault="00643130" w:rsidP="00643130">
      <w:pPr>
        <w:pStyle w:val="Paragraphedeliste"/>
        <w:numPr>
          <w:ilvl w:val="0"/>
          <w:numId w:val="5"/>
        </w:numPr>
        <w:bidi/>
        <w:spacing w:line="360" w:lineRule="auto"/>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فبالصلح نحمي العلاقة الزوجية من التكدر.</w:t>
      </w:r>
    </w:p>
    <w:p w:rsidR="00C57BE2" w:rsidRDefault="00C57BE2" w:rsidP="008A5D2D">
      <w:pPr>
        <w:spacing w:line="360" w:lineRule="auto"/>
        <w:ind w:firstLine="360"/>
        <w:jc w:val="both"/>
        <w:rPr>
          <w:rtl/>
        </w:rPr>
      </w:pPr>
      <w:r>
        <w:rPr>
          <w:rFonts w:hint="cs"/>
          <w:rtl/>
        </w:rPr>
        <w:t>وعليه فلو حبذا كان يتعين التمييز دائما في ظل هذه الأحكام بين الجانب الديني والشرعي وبين الجانب القانوني في كل مسألة تتعلق بمحاولة الصلح بين الزوجين حتى نتفادى التناقض بين النصوص القانونية والنصوص الشرعية، الأمر الذي يجب على المشرع أن يستدركه فيعدل النصوص القانونية لتتطابق مع النصوص الشرعية بشكل صريح وواضح.</w:t>
      </w:r>
    </w:p>
    <w:p w:rsidR="00C57BE2" w:rsidRDefault="00C57BE2" w:rsidP="008A5D2D">
      <w:pPr>
        <w:spacing w:line="360" w:lineRule="auto"/>
        <w:ind w:firstLine="360"/>
        <w:jc w:val="both"/>
        <w:rPr>
          <w:sz w:val="40"/>
          <w:szCs w:val="40"/>
          <w:rtl/>
        </w:rPr>
      </w:pPr>
      <w:r>
        <w:rPr>
          <w:rFonts w:hint="cs"/>
          <w:rtl/>
        </w:rPr>
        <w:lastRenderedPageBreak/>
        <w:t>كما يجب إنشاء محاكم خاصة بقضاء الأحوال الشخصية وهذا لتتفرغ لحلها ودراستها كفاية فيسهل عمل القاضي ويمكنه التفرغ لعرض الصلح على الزوجين، مما يساعد فعلا القاضي في أداء مهمته على الوجه الصحيح.</w:t>
      </w:r>
    </w:p>
    <w:p w:rsidR="00C57BE2" w:rsidRDefault="00C57BE2" w:rsidP="008A5D2D">
      <w:pPr>
        <w:spacing w:line="360" w:lineRule="auto"/>
        <w:ind w:firstLine="360"/>
        <w:jc w:val="both"/>
        <w:rPr>
          <w:sz w:val="40"/>
          <w:szCs w:val="40"/>
          <w:rtl/>
        </w:rPr>
        <w:sectPr w:rsidR="00C57BE2" w:rsidSect="004A2766">
          <w:headerReference w:type="default" r:id="rId27"/>
          <w:footerReference w:type="default" r:id="rId28"/>
          <w:footnotePr>
            <w:numRestart w:val="eachPage"/>
          </w:footnotePr>
          <w:pgSz w:w="11906" w:h="16838"/>
          <w:pgMar w:top="1134" w:right="1701" w:bottom="1134" w:left="1134" w:header="709" w:footer="709" w:gutter="0"/>
          <w:cols w:space="708"/>
          <w:bidi/>
          <w:rtlGutter/>
          <w:docGrid w:linePitch="435"/>
        </w:sectPr>
      </w:pPr>
    </w:p>
    <w:p w:rsidR="00C57BE2" w:rsidRDefault="00C57BE2" w:rsidP="008A5D2D">
      <w:pPr>
        <w:spacing w:after="0" w:line="240" w:lineRule="auto"/>
        <w:jc w:val="both"/>
        <w:rPr>
          <w:b/>
          <w:bCs/>
          <w:rtl/>
        </w:rPr>
      </w:pPr>
    </w:p>
    <w:p w:rsidR="00C57BE2" w:rsidRDefault="00C57BE2" w:rsidP="008A5D2D">
      <w:pPr>
        <w:spacing w:after="0"/>
        <w:jc w:val="both"/>
        <w:rPr>
          <w:b/>
          <w:bCs/>
          <w:rtl/>
        </w:rPr>
      </w:pPr>
    </w:p>
    <w:p w:rsidR="00C57BE2" w:rsidRDefault="00C57BE2" w:rsidP="008A5D2D">
      <w:pPr>
        <w:tabs>
          <w:tab w:val="left" w:pos="3641"/>
        </w:tabs>
        <w:spacing w:before="240" w:after="0" w:line="240" w:lineRule="auto"/>
        <w:jc w:val="both"/>
        <w:rPr>
          <w:rFonts w:eastAsia="Calibri"/>
          <w:b/>
          <w:bCs/>
          <w:sz w:val="28"/>
          <w:szCs w:val="28"/>
          <w:rtl/>
        </w:rPr>
      </w:pPr>
      <w:r w:rsidRPr="002804B8">
        <w:rPr>
          <w:rFonts w:eastAsia="Calibri"/>
          <w:b/>
          <w:bCs/>
          <w:noProof/>
          <w:sz w:val="28"/>
          <w:szCs w:val="28"/>
          <w:rtl/>
          <w:lang w:eastAsia="fr-FR" w:bidi="ar-SA"/>
        </w:rPr>
        <w:drawing>
          <wp:anchor distT="0" distB="0" distL="114300" distR="114300" simplePos="0" relativeHeight="251683840" behindDoc="0" locked="0" layoutInCell="1" allowOverlap="1">
            <wp:simplePos x="0" y="0"/>
            <wp:positionH relativeFrom="margin">
              <wp:align>center</wp:align>
            </wp:positionH>
            <wp:positionV relativeFrom="paragraph">
              <wp:posOffset>421005</wp:posOffset>
            </wp:positionV>
            <wp:extent cx="4799965" cy="709930"/>
            <wp:effectExtent l="95250" t="0" r="305435" b="204470"/>
            <wp:wrapNone/>
            <wp:docPr id="53"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r>
        <w:rPr>
          <w:rFonts w:eastAsia="Calibri"/>
          <w:b/>
          <w:bCs/>
          <w:sz w:val="28"/>
          <w:szCs w:val="28"/>
          <w:rtl/>
        </w:rPr>
        <w:tab/>
      </w: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C57BE2" w:rsidRPr="002804B8" w:rsidRDefault="00BB7C56" w:rsidP="008A5D2D">
      <w:pPr>
        <w:tabs>
          <w:tab w:val="left" w:pos="2168"/>
        </w:tabs>
        <w:spacing w:before="240" w:after="0" w:line="240" w:lineRule="auto"/>
        <w:jc w:val="both"/>
        <w:rPr>
          <w:rFonts w:eastAsia="Calibri"/>
          <w:b/>
          <w:bCs/>
          <w:sz w:val="28"/>
          <w:szCs w:val="28"/>
          <w:rtl/>
        </w:rPr>
      </w:pPr>
      <w:r>
        <w:rPr>
          <w:rFonts w:asciiTheme="minorHAnsi" w:hAnsiTheme="minorHAnsi" w:cstheme="minorBidi"/>
          <w:noProof/>
          <w:sz w:val="22"/>
          <w:szCs w:val="22"/>
          <w:rtl/>
          <w:lang w:val="en-US" w:bidi="ar-SA"/>
        </w:rPr>
        <w:pict>
          <v:roundrect id="مستطيل مستدير الزوايا 55" o:spid="_x0000_s1034" style="position:absolute;left:0;text-align:left;margin-left:0;margin-top:7.35pt;width:410.25pt;height:258.25pt;z-index:251681792;visibility:visible;mso-position-horizontal:center;mso-position-horizont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" fillcolor="white [3201]" strokecolor="black [3200]" strokeweight="5pt">
            <v:stroke linestyle="thickThin"/>
            <v:shadow color="#868686"/>
            <v:textbox>
              <w:txbxContent>
                <w:p w:rsidR="0012210E" w:rsidRPr="006A1A05" w:rsidRDefault="0012210E" w:rsidP="008A5D2D">
                  <w:pPr>
                    <w:spacing w:after="0" w:line="240" w:lineRule="auto"/>
                    <w:jc w:val="center"/>
                    <w:outlineLvl w:val="0"/>
                    <w:rPr>
                      <w:sz w:val="144"/>
                      <w:szCs w:val="144"/>
                      <w:rtl/>
                    </w:rPr>
                  </w:pPr>
                  <w:bookmarkStart w:id="88" w:name="_Toc461013657"/>
                  <w:r w:rsidRPr="006A1A05">
                    <w:rPr>
                      <w:rFonts w:hint="cs"/>
                      <w:sz w:val="144"/>
                      <w:szCs w:val="144"/>
                      <w:rtl/>
                    </w:rPr>
                    <w:t>قائمة المراجع</w:t>
                  </w:r>
                  <w:r w:rsidR="00E432B0">
                    <w:rPr>
                      <w:rFonts w:hint="cs"/>
                      <w:sz w:val="144"/>
                      <w:szCs w:val="144"/>
                      <w:rtl/>
                    </w:rPr>
                    <w:t xml:space="preserve"> </w:t>
                  </w:r>
                  <w:r>
                    <w:rPr>
                      <w:rFonts w:hint="cs"/>
                      <w:sz w:val="144"/>
                      <w:szCs w:val="144"/>
                      <w:rtl/>
                    </w:rPr>
                    <w:t>والمصادر</w:t>
                  </w:r>
                  <w:bookmarkEnd w:id="88"/>
                </w:p>
              </w:txbxContent>
            </v:textbox>
            <w10:wrap anchorx="margin"/>
          </v:roundrect>
        </w:pict>
      </w: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1841"/>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tabs>
          <w:tab w:val="left" w:pos="2168"/>
        </w:tabs>
        <w:spacing w:before="240" w:after="0" w:line="240" w:lineRule="auto"/>
        <w:jc w:val="both"/>
        <w:rPr>
          <w:rFonts w:eastAsia="Calibri"/>
          <w:b/>
          <w:bCs/>
          <w:sz w:val="28"/>
          <w:szCs w:val="28"/>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r w:rsidRPr="002804B8">
        <w:rPr>
          <w:rFonts w:eastAsia="Calibri"/>
          <w:b/>
          <w:bCs/>
          <w:noProof/>
          <w:sz w:val="28"/>
          <w:szCs w:val="28"/>
          <w:rtl/>
          <w:lang w:eastAsia="fr-FR" w:bidi="ar-SA"/>
        </w:rPr>
        <w:drawing>
          <wp:anchor distT="0" distB="0" distL="114300" distR="114300" simplePos="0" relativeHeight="251685888" behindDoc="0" locked="0" layoutInCell="1" allowOverlap="1">
            <wp:simplePos x="0" y="0"/>
            <wp:positionH relativeFrom="margin">
              <wp:align>center</wp:align>
            </wp:positionH>
            <wp:positionV relativeFrom="paragraph">
              <wp:posOffset>27940</wp:posOffset>
            </wp:positionV>
            <wp:extent cx="4799965" cy="709930"/>
            <wp:effectExtent l="114300" t="19050" r="286385" b="166370"/>
            <wp:wrapNone/>
            <wp:docPr id="56"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C57BE2" w:rsidRDefault="00C57BE2" w:rsidP="008A5D2D">
      <w:pPr>
        <w:spacing w:after="0" w:line="240" w:lineRule="auto"/>
        <w:jc w:val="both"/>
        <w:rPr>
          <w:b/>
          <w:bCs/>
          <w:rtl/>
        </w:rPr>
      </w:pPr>
    </w:p>
    <w:p w:rsidR="00C57BE2"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Pr="002804B8" w:rsidRDefault="00C57BE2" w:rsidP="008A5D2D">
      <w:pPr>
        <w:spacing w:after="0" w:line="240" w:lineRule="auto"/>
        <w:jc w:val="both"/>
        <w:rPr>
          <w:b/>
          <w:bCs/>
          <w:rtl/>
        </w:rPr>
      </w:pPr>
    </w:p>
    <w:p w:rsidR="00C57BE2" w:rsidRDefault="00C57BE2" w:rsidP="008A5D2D">
      <w:pPr>
        <w:spacing w:line="360" w:lineRule="auto"/>
        <w:ind w:firstLine="360"/>
        <w:jc w:val="both"/>
        <w:rPr>
          <w:sz w:val="40"/>
          <w:szCs w:val="40"/>
          <w:rtl/>
        </w:rPr>
      </w:pPr>
    </w:p>
    <w:p w:rsidR="00B97321" w:rsidRDefault="00B97321" w:rsidP="008A5D2D">
      <w:pPr>
        <w:spacing w:line="360" w:lineRule="auto"/>
        <w:ind w:firstLine="360"/>
        <w:jc w:val="both"/>
        <w:rPr>
          <w:sz w:val="40"/>
          <w:szCs w:val="40"/>
          <w:rtl/>
        </w:rPr>
        <w:sectPr w:rsidR="00B97321" w:rsidSect="004A2766">
          <w:headerReference w:type="default" r:id="rId29"/>
          <w:footerReference w:type="default" r:id="rId30"/>
          <w:footnotePr>
            <w:numRestart w:val="eachPage"/>
          </w:footnotePr>
          <w:pgSz w:w="11906" w:h="16838"/>
          <w:pgMar w:top="1134" w:right="1701" w:bottom="1134" w:left="1134" w:header="709" w:footer="709" w:gutter="0"/>
          <w:cols w:space="708"/>
          <w:bidi/>
          <w:rtlGutter/>
          <w:docGrid w:linePitch="435"/>
        </w:sectPr>
      </w:pPr>
    </w:p>
    <w:p w:rsidR="00B97321" w:rsidRPr="008009F8" w:rsidRDefault="00B97321" w:rsidP="008A5D2D">
      <w:pPr>
        <w:pStyle w:val="Notedebasdepage"/>
        <w:spacing w:line="360" w:lineRule="auto"/>
        <w:jc w:val="both"/>
        <w:rPr>
          <w:b/>
          <w:bCs/>
          <w:sz w:val="36"/>
          <w:szCs w:val="36"/>
          <w:rtl/>
        </w:rPr>
      </w:pPr>
      <w:r>
        <w:rPr>
          <w:rFonts w:hint="cs"/>
          <w:b/>
          <w:bCs/>
          <w:sz w:val="36"/>
          <w:szCs w:val="36"/>
          <w:rtl/>
        </w:rPr>
        <w:lastRenderedPageBreak/>
        <w:t xml:space="preserve">أولا: </w:t>
      </w:r>
      <w:r>
        <w:rPr>
          <w:b/>
          <w:bCs/>
          <w:sz w:val="36"/>
          <w:szCs w:val="36"/>
          <w:rtl/>
        </w:rPr>
        <w:t>القرآن الكريم</w:t>
      </w:r>
    </w:p>
    <w:p w:rsidR="00B97321" w:rsidRPr="008A5EEE" w:rsidRDefault="00B97321" w:rsidP="008A5D2D">
      <w:pPr>
        <w:pStyle w:val="Notedebasdepage"/>
        <w:spacing w:line="360" w:lineRule="auto"/>
        <w:jc w:val="both"/>
        <w:rPr>
          <w:b/>
          <w:bCs/>
          <w:sz w:val="36"/>
          <w:szCs w:val="36"/>
          <w:rtl/>
        </w:rPr>
      </w:pPr>
      <w:r>
        <w:rPr>
          <w:rFonts w:hint="cs"/>
          <w:b/>
          <w:bCs/>
          <w:sz w:val="36"/>
          <w:szCs w:val="36"/>
          <w:rtl/>
        </w:rPr>
        <w:t xml:space="preserve">ثانيا: </w:t>
      </w:r>
      <w:r>
        <w:rPr>
          <w:b/>
          <w:bCs/>
          <w:sz w:val="36"/>
          <w:szCs w:val="36"/>
          <w:rtl/>
        </w:rPr>
        <w:t>الكتب الفقهية</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 xml:space="preserve">ابن رشد، بداية المجتهد ونهاية المقتصد، دار الجيل، بيروت، ط1، 1989، ج2. </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ابن رشد، بداية المجتهد ونهاية المقتصد، دار المعرفة، بيروت، ط6، 1982، ج2.</w:t>
      </w:r>
    </w:p>
    <w:p w:rsidR="00B97321" w:rsidRPr="008A5EEE" w:rsidRDefault="00B97321" w:rsidP="008A5D2D">
      <w:pPr>
        <w:pStyle w:val="Notedebasdepage"/>
        <w:numPr>
          <w:ilvl w:val="0"/>
          <w:numId w:val="6"/>
        </w:numPr>
        <w:spacing w:line="360" w:lineRule="auto"/>
        <w:jc w:val="both"/>
        <w:rPr>
          <w:sz w:val="32"/>
          <w:szCs w:val="32"/>
        </w:rPr>
      </w:pPr>
      <w:r w:rsidRPr="008A5EEE">
        <w:rPr>
          <w:sz w:val="32"/>
          <w:szCs w:val="32"/>
          <w:rtl/>
        </w:rPr>
        <w:t xml:space="preserve">ابن عابدين، قرة عين الأخيار لتكملة رد المختار، دار الفكر للطباعة والنشر والتوزيع، بيروت، </w:t>
      </w:r>
      <w:proofErr w:type="spellStart"/>
      <w:r w:rsidRPr="008A5EEE">
        <w:rPr>
          <w:sz w:val="32"/>
          <w:szCs w:val="32"/>
          <w:rtl/>
        </w:rPr>
        <w:t>د.ط</w:t>
      </w:r>
      <w:proofErr w:type="spellEnd"/>
      <w:r w:rsidRPr="008A5EEE">
        <w:rPr>
          <w:sz w:val="32"/>
          <w:szCs w:val="32"/>
          <w:rtl/>
        </w:rPr>
        <w:t>، د.ت، ج8.</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أبو الوليد الباجي، المنتقى شرح موطأ مالك، دار الكتب العلمية، لبنان، ط1، 1991، ج5.</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أبو بكر بن علي بن محمد الحدادي العبادي الزبيدي اليمني الحنفي، الجوهرة النيرة، المطبعة الخيرية، مصر، ط1، 1322ه، ج1.</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 xml:space="preserve">أبو حامد الغزالي، الوسيط، دار الإسلام، القاهرة، </w:t>
      </w:r>
      <w:proofErr w:type="spellStart"/>
      <w:r w:rsidRPr="008A5EEE">
        <w:rPr>
          <w:sz w:val="32"/>
          <w:szCs w:val="32"/>
          <w:rtl/>
        </w:rPr>
        <w:t>د.ط</w:t>
      </w:r>
      <w:proofErr w:type="spellEnd"/>
      <w:r w:rsidRPr="008A5EEE">
        <w:rPr>
          <w:sz w:val="32"/>
          <w:szCs w:val="32"/>
          <w:rtl/>
        </w:rPr>
        <w:t>، 1417هـ، ج4.</w:t>
      </w:r>
    </w:p>
    <w:p w:rsidR="00B97321" w:rsidRPr="008A5EEE" w:rsidRDefault="00B97321" w:rsidP="008A5D2D">
      <w:pPr>
        <w:pStyle w:val="Notedebasdepage"/>
        <w:numPr>
          <w:ilvl w:val="0"/>
          <w:numId w:val="6"/>
        </w:numPr>
        <w:spacing w:line="360" w:lineRule="auto"/>
        <w:jc w:val="both"/>
        <w:rPr>
          <w:sz w:val="32"/>
          <w:szCs w:val="32"/>
        </w:rPr>
      </w:pPr>
      <w:r w:rsidRPr="008A5EEE">
        <w:rPr>
          <w:sz w:val="32"/>
          <w:szCs w:val="32"/>
          <w:rtl/>
        </w:rPr>
        <w:t xml:space="preserve">أبو عبد الله، منح الجليل شرح مختصر خليل، دار الفكر، بيروت، </w:t>
      </w:r>
      <w:proofErr w:type="spellStart"/>
      <w:r w:rsidRPr="008A5EEE">
        <w:rPr>
          <w:sz w:val="32"/>
          <w:szCs w:val="32"/>
          <w:rtl/>
        </w:rPr>
        <w:t>د.ط</w:t>
      </w:r>
      <w:proofErr w:type="spellEnd"/>
      <w:r w:rsidRPr="008A5EEE">
        <w:rPr>
          <w:sz w:val="32"/>
          <w:szCs w:val="32"/>
          <w:rtl/>
        </w:rPr>
        <w:t>، 1989م، ج3.</w:t>
      </w:r>
    </w:p>
    <w:p w:rsidR="00B97321" w:rsidRPr="008A5EEE" w:rsidRDefault="00B97321" w:rsidP="008A5D2D">
      <w:pPr>
        <w:pStyle w:val="Notedebasdepage"/>
        <w:numPr>
          <w:ilvl w:val="0"/>
          <w:numId w:val="6"/>
        </w:numPr>
        <w:spacing w:line="360" w:lineRule="auto"/>
        <w:jc w:val="both"/>
        <w:rPr>
          <w:sz w:val="32"/>
          <w:szCs w:val="32"/>
          <w:rtl/>
        </w:rPr>
      </w:pPr>
      <w:r w:rsidRPr="008A5EEE">
        <w:rPr>
          <w:sz w:val="32"/>
          <w:szCs w:val="32"/>
          <w:rtl/>
        </w:rPr>
        <w:t xml:space="preserve">أحمد بن عبد العزيز السليمان الحمدان، دليل مكتبة المرأة المسلمة، موقع وزارة الأوقاف، السعودية، </w:t>
      </w:r>
      <w:proofErr w:type="spellStart"/>
      <w:r w:rsidRPr="008A5EEE">
        <w:rPr>
          <w:sz w:val="32"/>
          <w:szCs w:val="32"/>
          <w:rtl/>
        </w:rPr>
        <w:t>د.ط</w:t>
      </w:r>
      <w:proofErr w:type="spellEnd"/>
      <w:r w:rsidRPr="008A5EEE">
        <w:rPr>
          <w:sz w:val="32"/>
          <w:szCs w:val="32"/>
          <w:rtl/>
        </w:rPr>
        <w:t>، ج 4.</w:t>
      </w:r>
    </w:p>
    <w:p w:rsidR="00B97321" w:rsidRPr="008A5EEE" w:rsidRDefault="00B97321" w:rsidP="008A5D2D">
      <w:pPr>
        <w:pStyle w:val="Notedebasdepage"/>
        <w:numPr>
          <w:ilvl w:val="0"/>
          <w:numId w:val="6"/>
        </w:numPr>
        <w:spacing w:line="360" w:lineRule="auto"/>
        <w:jc w:val="both"/>
        <w:rPr>
          <w:sz w:val="32"/>
          <w:szCs w:val="32"/>
        </w:rPr>
      </w:pPr>
      <w:r w:rsidRPr="008A5EEE">
        <w:rPr>
          <w:sz w:val="32"/>
          <w:szCs w:val="32"/>
          <w:rtl/>
        </w:rPr>
        <w:t xml:space="preserve">أحمد بن عبد العزيز السليمان الحمدان، دليل مكتبة المرأة المسلمة، وزارة الأوقاف السعودية، </w:t>
      </w:r>
      <w:proofErr w:type="spellStart"/>
      <w:r w:rsidRPr="008A5EEE">
        <w:rPr>
          <w:sz w:val="32"/>
          <w:szCs w:val="32"/>
          <w:rtl/>
        </w:rPr>
        <w:t>د.ط</w:t>
      </w:r>
      <w:proofErr w:type="spellEnd"/>
      <w:r w:rsidRPr="008A5EEE">
        <w:rPr>
          <w:sz w:val="32"/>
          <w:szCs w:val="32"/>
          <w:rtl/>
        </w:rPr>
        <w:t>، د.ت، ج4.</w:t>
      </w:r>
    </w:p>
    <w:p w:rsidR="00B97321" w:rsidRPr="008A5EEE" w:rsidRDefault="00B97321" w:rsidP="008A5D2D">
      <w:pPr>
        <w:pStyle w:val="Notedebasdepage"/>
        <w:numPr>
          <w:ilvl w:val="0"/>
          <w:numId w:val="6"/>
        </w:numPr>
        <w:spacing w:line="360" w:lineRule="auto"/>
        <w:ind w:left="565"/>
        <w:jc w:val="both"/>
        <w:rPr>
          <w:sz w:val="32"/>
          <w:szCs w:val="32"/>
          <w:rtl/>
        </w:rPr>
      </w:pPr>
      <w:r w:rsidRPr="008A5EEE">
        <w:rPr>
          <w:sz w:val="32"/>
          <w:szCs w:val="32"/>
          <w:rtl/>
        </w:rPr>
        <w:t xml:space="preserve">الجصاص، أحكام القرآن، دار الكتب العلمية، بيروت، </w:t>
      </w:r>
      <w:proofErr w:type="spellStart"/>
      <w:r w:rsidRPr="008A5EEE">
        <w:rPr>
          <w:sz w:val="32"/>
          <w:szCs w:val="32"/>
          <w:rtl/>
        </w:rPr>
        <w:t>د.ط</w:t>
      </w:r>
      <w:proofErr w:type="spellEnd"/>
      <w:r w:rsidRPr="008A5EEE">
        <w:rPr>
          <w:sz w:val="32"/>
          <w:szCs w:val="32"/>
          <w:rtl/>
        </w:rPr>
        <w:t>، ج3.</w:t>
      </w:r>
    </w:p>
    <w:p w:rsidR="00B97321" w:rsidRPr="008A5EEE" w:rsidRDefault="00B97321" w:rsidP="008A5D2D">
      <w:pPr>
        <w:pStyle w:val="Notedebasdepage"/>
        <w:numPr>
          <w:ilvl w:val="0"/>
          <w:numId w:val="6"/>
        </w:numPr>
        <w:spacing w:line="360" w:lineRule="auto"/>
        <w:ind w:left="849" w:hanging="631"/>
        <w:jc w:val="both"/>
        <w:rPr>
          <w:sz w:val="32"/>
          <w:szCs w:val="32"/>
          <w:rtl/>
        </w:rPr>
      </w:pPr>
      <w:r w:rsidRPr="008A5EEE">
        <w:rPr>
          <w:sz w:val="32"/>
          <w:szCs w:val="32"/>
          <w:rtl/>
        </w:rPr>
        <w:lastRenderedPageBreak/>
        <w:t xml:space="preserve">خالد عبد الرحمان العك، موسوعة الفقه المالكي، دار الحكمة، ط1، 1990، ج3.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proofErr w:type="spellStart"/>
      <w:r w:rsidRPr="008A5EEE">
        <w:rPr>
          <w:sz w:val="32"/>
          <w:szCs w:val="32"/>
          <w:rtl/>
        </w:rPr>
        <w:t>الدميري</w:t>
      </w:r>
      <w:proofErr w:type="spellEnd"/>
      <w:r w:rsidRPr="008A5EEE">
        <w:rPr>
          <w:sz w:val="32"/>
          <w:szCs w:val="32"/>
          <w:rtl/>
        </w:rPr>
        <w:t xml:space="preserve"> بهرام، الشامل في فقه الإمام مالك، مركز </w:t>
      </w:r>
      <w:proofErr w:type="spellStart"/>
      <w:r w:rsidRPr="008A5EEE">
        <w:rPr>
          <w:sz w:val="32"/>
          <w:szCs w:val="32"/>
          <w:rtl/>
        </w:rPr>
        <w:t>نجيوبة</w:t>
      </w:r>
      <w:proofErr w:type="spellEnd"/>
      <w:r w:rsidRPr="008A5EEE">
        <w:rPr>
          <w:sz w:val="32"/>
          <w:szCs w:val="32"/>
          <w:rtl/>
        </w:rPr>
        <w:t xml:space="preserve"> للمخطوطات وخدمة التراث، </w:t>
      </w:r>
      <w:proofErr w:type="spellStart"/>
      <w:r w:rsidRPr="008A5EEE">
        <w:rPr>
          <w:sz w:val="32"/>
          <w:szCs w:val="32"/>
          <w:rtl/>
        </w:rPr>
        <w:t>د.م</w:t>
      </w:r>
      <w:proofErr w:type="spellEnd"/>
      <w:r w:rsidRPr="008A5EEE">
        <w:rPr>
          <w:sz w:val="32"/>
          <w:szCs w:val="32"/>
          <w:rtl/>
        </w:rPr>
        <w:t>، ط1، 2008، ج1.</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الراغب، تفسير الراغب الأصفهاني، كلية الدعوى وأصول الدين، جامعة أم القرى، ط1، 2001م، ج4.</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الزبيدي، الجوهرة المنيرة، المطبعة الخيرية، مصر، ط1، 1322هـ، ج1.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proofErr w:type="spellStart"/>
      <w:r w:rsidRPr="008A5EEE">
        <w:rPr>
          <w:sz w:val="32"/>
          <w:szCs w:val="32"/>
          <w:rtl/>
        </w:rPr>
        <w:t>زكرياء</w:t>
      </w:r>
      <w:proofErr w:type="spellEnd"/>
      <w:r w:rsidRPr="008A5EEE">
        <w:rPr>
          <w:sz w:val="32"/>
          <w:szCs w:val="32"/>
          <w:rtl/>
        </w:rPr>
        <w:t xml:space="preserve"> بن محمد، الغرر البهية في شرح البهجة الوردية، المطبعة </w:t>
      </w:r>
      <w:proofErr w:type="spellStart"/>
      <w:r w:rsidRPr="008A5EEE">
        <w:rPr>
          <w:sz w:val="32"/>
          <w:szCs w:val="32"/>
          <w:rtl/>
        </w:rPr>
        <w:t>الميمنية</w:t>
      </w:r>
      <w:proofErr w:type="spellEnd"/>
      <w:r w:rsidRPr="008A5EEE">
        <w:rPr>
          <w:sz w:val="32"/>
          <w:szCs w:val="32"/>
          <w:rtl/>
        </w:rPr>
        <w:t xml:space="preserve">، مصر، </w:t>
      </w:r>
      <w:proofErr w:type="spellStart"/>
      <w:r w:rsidRPr="008A5EEE">
        <w:rPr>
          <w:sz w:val="32"/>
          <w:szCs w:val="32"/>
          <w:rtl/>
        </w:rPr>
        <w:t>د.م</w:t>
      </w:r>
      <w:proofErr w:type="spellEnd"/>
      <w:r w:rsidRPr="008A5EEE">
        <w:rPr>
          <w:sz w:val="32"/>
          <w:szCs w:val="32"/>
          <w:rtl/>
        </w:rPr>
        <w:t xml:space="preserve">، </w:t>
      </w:r>
      <w:proofErr w:type="spellStart"/>
      <w:r w:rsidRPr="008A5EEE">
        <w:rPr>
          <w:sz w:val="32"/>
          <w:szCs w:val="32"/>
          <w:rtl/>
        </w:rPr>
        <w:t>د.ط</w:t>
      </w:r>
      <w:proofErr w:type="spellEnd"/>
      <w:r w:rsidRPr="008A5EEE">
        <w:rPr>
          <w:sz w:val="32"/>
          <w:szCs w:val="32"/>
          <w:rtl/>
        </w:rPr>
        <w:t xml:space="preserve">، د.ت، ج3.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السرخسي، المبسوط، دار المعرفة، بيروت، </w:t>
      </w:r>
      <w:proofErr w:type="spellStart"/>
      <w:r w:rsidRPr="008A5EEE">
        <w:rPr>
          <w:sz w:val="32"/>
          <w:szCs w:val="32"/>
          <w:rtl/>
        </w:rPr>
        <w:t>د.ط</w:t>
      </w:r>
      <w:proofErr w:type="spellEnd"/>
      <w:r w:rsidRPr="008A5EEE">
        <w:rPr>
          <w:sz w:val="32"/>
          <w:szCs w:val="32"/>
          <w:rtl/>
        </w:rPr>
        <w:t xml:space="preserve">ـ د.ت، ج20.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سليمان </w:t>
      </w:r>
      <w:proofErr w:type="spellStart"/>
      <w:r w:rsidRPr="008A5EEE">
        <w:rPr>
          <w:sz w:val="32"/>
          <w:szCs w:val="32"/>
          <w:rtl/>
        </w:rPr>
        <w:t>إبن</w:t>
      </w:r>
      <w:proofErr w:type="spellEnd"/>
      <w:r w:rsidRPr="008A5EEE">
        <w:rPr>
          <w:sz w:val="32"/>
          <w:szCs w:val="32"/>
          <w:rtl/>
        </w:rPr>
        <w:t xml:space="preserve"> محمد </w:t>
      </w:r>
      <w:proofErr w:type="spellStart"/>
      <w:r w:rsidRPr="008A5EEE">
        <w:rPr>
          <w:sz w:val="32"/>
          <w:szCs w:val="32"/>
          <w:rtl/>
        </w:rPr>
        <w:t>البحيرمي</w:t>
      </w:r>
      <w:proofErr w:type="spellEnd"/>
      <w:r w:rsidRPr="008A5EEE">
        <w:rPr>
          <w:sz w:val="32"/>
          <w:szCs w:val="32"/>
          <w:rtl/>
        </w:rPr>
        <w:t>، تحفة الحبيب على شرح الخطيب، دار الكتب العلمية، لبنان، ط1، 1996، ج4.</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سيد سابق، فقه السنة، دار الكتاب العربي، بيروت، ط5، 1983.</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شمس الدين الرملي، نهاية المحتاج إلى شرح المنهاج، دار إحياء التراث العربي، بيروت، ط3، 1992، ج6.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عابد بن عبد الله الحربي، النشوز بين الزوجين، الجامعة الإسلامية، المدينة المنورة، ط128، 1425ه، ج10.</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lastRenderedPageBreak/>
        <w:t xml:space="preserve">عبد الكريم بن محمد الرافعي القزويني، فتح العزيز بشرح الوجيز، دار الفكر، دمشق، </w:t>
      </w:r>
      <w:proofErr w:type="spellStart"/>
      <w:r w:rsidRPr="008A5EEE">
        <w:rPr>
          <w:sz w:val="32"/>
          <w:szCs w:val="32"/>
          <w:rtl/>
        </w:rPr>
        <w:t>د.ط</w:t>
      </w:r>
      <w:proofErr w:type="spellEnd"/>
      <w:r w:rsidRPr="008A5EEE">
        <w:rPr>
          <w:sz w:val="32"/>
          <w:szCs w:val="32"/>
          <w:rtl/>
        </w:rPr>
        <w:t>، د.ت، ج10.</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عبد الله بن محمد الطيار وآخرون، الفقه الميسر، مدار الوطن للنشر، الرياض، ط2، 2012م، ج5.</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عبد الله محمد، جامع العلم، دار الآثار، اليمن، ط1، 2002، ج1.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علي حيدر خواجة أمين أفندي، دور الحكام في شرح مجلة الأحكام، دار الجيل، بيروت، ط1، 1991، ج4.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علي محمد علي قاسم، نشوز الزوجة، دار الجامعة الجديدة للنشر، الإسكندرية، </w:t>
      </w:r>
      <w:proofErr w:type="spellStart"/>
      <w:r w:rsidRPr="008A5EEE">
        <w:rPr>
          <w:sz w:val="32"/>
          <w:szCs w:val="32"/>
          <w:rtl/>
        </w:rPr>
        <w:t>د.ط</w:t>
      </w:r>
      <w:proofErr w:type="spellEnd"/>
      <w:r w:rsidRPr="008A5EEE">
        <w:rPr>
          <w:sz w:val="32"/>
          <w:szCs w:val="32"/>
          <w:rtl/>
        </w:rPr>
        <w:t>، 2003.</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فخر الدين الرازي، المحصول، مؤسسة الرسالة، المغرب، ط3، 1997م، ج6.</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القرافي، الذخيرة، دار الغرب الإسلامي، بيروت، ط1، 1914م، ج5.</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القرافي، الذخيرة، دار الغرب الإسلامي، بيروت، ط1، 1994، ج12.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 xml:space="preserve">القرطبي، المحلى بالآثار، دار الفكر، بيروت، </w:t>
      </w:r>
      <w:proofErr w:type="spellStart"/>
      <w:r w:rsidRPr="008A5EEE">
        <w:rPr>
          <w:sz w:val="32"/>
          <w:szCs w:val="32"/>
          <w:rtl/>
        </w:rPr>
        <w:t>د.ط</w:t>
      </w:r>
      <w:proofErr w:type="spellEnd"/>
      <w:r w:rsidRPr="008A5EEE">
        <w:rPr>
          <w:sz w:val="32"/>
          <w:szCs w:val="32"/>
          <w:rtl/>
        </w:rPr>
        <w:t>، د.ت، ج6.</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القرطبي، تفسير القرطبي، دار الكتب المصرية، القاهرة، ط2، 1964م، ج14.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proofErr w:type="spellStart"/>
      <w:r w:rsidRPr="008A5EEE">
        <w:rPr>
          <w:sz w:val="32"/>
          <w:szCs w:val="32"/>
          <w:rtl/>
        </w:rPr>
        <w:t>الكاساني</w:t>
      </w:r>
      <w:proofErr w:type="spellEnd"/>
      <w:r w:rsidRPr="008A5EEE">
        <w:rPr>
          <w:sz w:val="32"/>
          <w:szCs w:val="32"/>
          <w:rtl/>
        </w:rPr>
        <w:t xml:space="preserve">، بدائع الصنائع، دار الكتاب العربي، بيروت، </w:t>
      </w:r>
      <w:proofErr w:type="spellStart"/>
      <w:r w:rsidRPr="008A5EEE">
        <w:rPr>
          <w:sz w:val="32"/>
          <w:szCs w:val="32"/>
          <w:rtl/>
        </w:rPr>
        <w:t>د.ط</w:t>
      </w:r>
      <w:proofErr w:type="spellEnd"/>
      <w:r w:rsidRPr="008A5EEE">
        <w:rPr>
          <w:sz w:val="32"/>
          <w:szCs w:val="32"/>
          <w:rtl/>
        </w:rPr>
        <w:t>، 1982، ج6.</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الماوردي، الحاوي الكبير في فقه مذهب الإمام الشافعي، دار الكتب العلمية، بيروت، ط1، 1999م، ج6.</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lastRenderedPageBreak/>
        <w:t xml:space="preserve">الماوردي، الحاوي الكبير في فقه مذهب الإمام الشافعي، دار الكتب العلمية، لبنان، </w:t>
      </w:r>
      <w:proofErr w:type="spellStart"/>
      <w:r w:rsidRPr="008A5EEE">
        <w:rPr>
          <w:sz w:val="32"/>
          <w:szCs w:val="32"/>
          <w:rtl/>
        </w:rPr>
        <w:t>د.ط</w:t>
      </w:r>
      <w:proofErr w:type="spellEnd"/>
      <w:r w:rsidRPr="008A5EEE">
        <w:rPr>
          <w:sz w:val="32"/>
          <w:szCs w:val="32"/>
          <w:rtl/>
        </w:rPr>
        <w:t>، 1993، ج9.</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 xml:space="preserve">محمد أحمد إسماعيل المقدم، عودة الحجاب، دار </w:t>
      </w:r>
      <w:proofErr w:type="spellStart"/>
      <w:r w:rsidRPr="008A5EEE">
        <w:rPr>
          <w:sz w:val="32"/>
          <w:szCs w:val="32"/>
          <w:rtl/>
        </w:rPr>
        <w:t>إبن</w:t>
      </w:r>
      <w:proofErr w:type="spellEnd"/>
      <w:r w:rsidRPr="008A5EEE">
        <w:rPr>
          <w:sz w:val="32"/>
          <w:szCs w:val="32"/>
          <w:rtl/>
        </w:rPr>
        <w:t xml:space="preserve"> الجوزي، القاهرة، ط1، 2005م، ج2.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محمد بشير </w:t>
      </w:r>
      <w:proofErr w:type="spellStart"/>
      <w:r w:rsidRPr="008A5EEE">
        <w:rPr>
          <w:sz w:val="32"/>
          <w:szCs w:val="32"/>
          <w:rtl/>
        </w:rPr>
        <w:t>الشفقه</w:t>
      </w:r>
      <w:proofErr w:type="spellEnd"/>
      <w:r w:rsidRPr="008A5EEE">
        <w:rPr>
          <w:sz w:val="32"/>
          <w:szCs w:val="32"/>
          <w:rtl/>
        </w:rPr>
        <w:t>، فقه المالكي في ثوبه الجديد، دار القلم، دمشق، ط2، 2001، ج2.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محمد بن إبراهيم ابن عبد اللطيف آل شيخ، فتاوى ورسائل سماحة الشيخ محمد بن إبراهيم بن عبد اللطيف آل شيخ، مطبعة الحكومة، مكة المكرمة، ط1، 1399ه، ج12.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محمد بن أحمد بن أزهري الهروي، تهذيب اللغة، دار إحياء التراث العربي، بيروت، ط1، 2001، ج4.</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t>محمد بن علي بن شعيب، تقوين النظر في مسائل خلافية ذائعة ونبذ مذهبية نافعة، مكتبة الرشد، السعودية، ط1، 2001م، ج2.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محمد مصطفى </w:t>
      </w:r>
      <w:proofErr w:type="spellStart"/>
      <w:r w:rsidRPr="008A5EEE">
        <w:rPr>
          <w:sz w:val="32"/>
          <w:szCs w:val="32"/>
          <w:rtl/>
        </w:rPr>
        <w:t>الزحيلي</w:t>
      </w:r>
      <w:proofErr w:type="spellEnd"/>
      <w:r w:rsidRPr="008A5EEE">
        <w:rPr>
          <w:sz w:val="32"/>
          <w:szCs w:val="32"/>
          <w:rtl/>
        </w:rPr>
        <w:t>، القواعد الفقهية وتطبيقاتها في المذاهب الأربعة، دار الفكر، دمشق، ط1، 2001، ج 2.</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مصطفى الخن وآخرون، الفقه المنهجي على مذهب الإمام الشافعي رحمه الله، دار القلم، دمشق، ط4، 1992م، ج6.</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موفق الدين أبي محمد عبد الله، عمدة الفقه، المكتبة العصرية، بيروت، </w:t>
      </w:r>
      <w:proofErr w:type="spellStart"/>
      <w:r w:rsidRPr="008A5EEE">
        <w:rPr>
          <w:sz w:val="32"/>
          <w:szCs w:val="32"/>
          <w:rtl/>
        </w:rPr>
        <w:t>د.ط</w:t>
      </w:r>
      <w:proofErr w:type="spellEnd"/>
      <w:r w:rsidRPr="008A5EEE">
        <w:rPr>
          <w:sz w:val="32"/>
          <w:szCs w:val="32"/>
          <w:rtl/>
        </w:rPr>
        <w:t xml:space="preserve">، 2003. </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Pr>
      </w:pPr>
      <w:r w:rsidRPr="008A5EEE">
        <w:rPr>
          <w:sz w:val="32"/>
          <w:szCs w:val="32"/>
          <w:rtl/>
        </w:rPr>
        <w:lastRenderedPageBreak/>
        <w:t xml:space="preserve">المولى، دور الحكام شرح غدر الأحكام، دار إحياء الكتب العربية، </w:t>
      </w:r>
      <w:proofErr w:type="spellStart"/>
      <w:r w:rsidRPr="008A5EEE">
        <w:rPr>
          <w:sz w:val="32"/>
          <w:szCs w:val="32"/>
          <w:rtl/>
        </w:rPr>
        <w:t>د.م</w:t>
      </w:r>
      <w:proofErr w:type="spellEnd"/>
      <w:r w:rsidRPr="008A5EEE">
        <w:rPr>
          <w:sz w:val="32"/>
          <w:szCs w:val="32"/>
          <w:rtl/>
        </w:rPr>
        <w:t xml:space="preserve">، </w:t>
      </w:r>
      <w:proofErr w:type="spellStart"/>
      <w:r w:rsidRPr="008A5EEE">
        <w:rPr>
          <w:sz w:val="32"/>
          <w:szCs w:val="32"/>
          <w:rtl/>
        </w:rPr>
        <w:t>د.ط</w:t>
      </w:r>
      <w:proofErr w:type="spellEnd"/>
      <w:r w:rsidRPr="008A5EEE">
        <w:rPr>
          <w:sz w:val="32"/>
          <w:szCs w:val="32"/>
          <w:rtl/>
        </w:rPr>
        <w:t>، د ت.</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نظام الدين البلخي، الفتاوى </w:t>
      </w:r>
      <w:proofErr w:type="spellStart"/>
      <w:r w:rsidRPr="008A5EEE">
        <w:rPr>
          <w:sz w:val="32"/>
          <w:szCs w:val="32"/>
          <w:rtl/>
        </w:rPr>
        <w:t>المهندية</w:t>
      </w:r>
      <w:proofErr w:type="spellEnd"/>
      <w:r w:rsidRPr="008A5EEE">
        <w:rPr>
          <w:sz w:val="32"/>
          <w:szCs w:val="32"/>
          <w:rtl/>
        </w:rPr>
        <w:t xml:space="preserve"> في مذهب الإمام الأعظم أبي حنيفة النعمان، دار صادر، بيروت، ط2، 1991، ج3.</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النووي، روضة الطالبين وعمدة المفتين، المكتب الإسلامي، بيروت، دمشق، عمان، ط3، 1991، ج4.</w:t>
      </w:r>
    </w:p>
    <w:p w:rsidR="00B97321" w:rsidRPr="008A5EEE"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وهبة </w:t>
      </w:r>
      <w:proofErr w:type="spellStart"/>
      <w:r w:rsidRPr="008A5EEE">
        <w:rPr>
          <w:sz w:val="32"/>
          <w:szCs w:val="32"/>
          <w:rtl/>
        </w:rPr>
        <w:t>الزحيلي</w:t>
      </w:r>
      <w:proofErr w:type="spellEnd"/>
      <w:r w:rsidRPr="008A5EEE">
        <w:rPr>
          <w:sz w:val="32"/>
          <w:szCs w:val="32"/>
          <w:rtl/>
        </w:rPr>
        <w:t>، الفقه الإسلامي وأدلته، دار الفكر المعاصر، بيروت، ط4، 1996، ج9.</w:t>
      </w:r>
    </w:p>
    <w:p w:rsidR="00B97321" w:rsidRPr="008009F8" w:rsidRDefault="00B97321" w:rsidP="008A5D2D">
      <w:pPr>
        <w:pStyle w:val="Notedebasdepage"/>
        <w:numPr>
          <w:ilvl w:val="0"/>
          <w:numId w:val="6"/>
        </w:numPr>
        <w:tabs>
          <w:tab w:val="right" w:pos="849"/>
        </w:tabs>
        <w:spacing w:line="360" w:lineRule="auto"/>
        <w:ind w:left="707" w:hanging="501"/>
        <w:jc w:val="both"/>
        <w:rPr>
          <w:sz w:val="32"/>
          <w:szCs w:val="32"/>
          <w:rtl/>
        </w:rPr>
      </w:pPr>
      <w:r w:rsidRPr="008A5EEE">
        <w:rPr>
          <w:sz w:val="32"/>
          <w:szCs w:val="32"/>
          <w:rtl/>
        </w:rPr>
        <w:t xml:space="preserve">يحي بن محمد بن هبيرة الذهلي الشيباني وآخرون، </w:t>
      </w:r>
      <w:proofErr w:type="spellStart"/>
      <w:r w:rsidRPr="008A5EEE">
        <w:rPr>
          <w:sz w:val="32"/>
          <w:szCs w:val="32"/>
          <w:rtl/>
        </w:rPr>
        <w:t>إختلاف</w:t>
      </w:r>
      <w:proofErr w:type="spellEnd"/>
      <w:r w:rsidRPr="008A5EEE">
        <w:rPr>
          <w:sz w:val="32"/>
          <w:szCs w:val="32"/>
          <w:rtl/>
        </w:rPr>
        <w:t xml:space="preserve"> الأئمة العلماء، دار الكتب العلمية، بيروت، ط1، 2002م، ج2. </w:t>
      </w:r>
    </w:p>
    <w:p w:rsidR="00B97321" w:rsidRPr="008A5EEE" w:rsidRDefault="00B97321" w:rsidP="008A5D2D">
      <w:pPr>
        <w:pStyle w:val="Notedebasdepage"/>
        <w:spacing w:line="360" w:lineRule="auto"/>
        <w:jc w:val="both"/>
        <w:rPr>
          <w:b/>
          <w:bCs/>
          <w:sz w:val="36"/>
          <w:szCs w:val="36"/>
          <w:rtl/>
        </w:rPr>
      </w:pPr>
      <w:r>
        <w:rPr>
          <w:rFonts w:hint="cs"/>
          <w:b/>
          <w:bCs/>
          <w:sz w:val="36"/>
          <w:szCs w:val="36"/>
          <w:rtl/>
        </w:rPr>
        <w:t xml:space="preserve">ثالثا: </w:t>
      </w:r>
      <w:r>
        <w:rPr>
          <w:b/>
          <w:bCs/>
          <w:sz w:val="36"/>
          <w:szCs w:val="36"/>
          <w:rtl/>
        </w:rPr>
        <w:t>كتب التفسير</w:t>
      </w:r>
    </w:p>
    <w:p w:rsidR="00B97321" w:rsidRPr="008009F8" w:rsidRDefault="00B97321" w:rsidP="008A5D2D">
      <w:pPr>
        <w:pStyle w:val="Notedebasdepage"/>
        <w:numPr>
          <w:ilvl w:val="0"/>
          <w:numId w:val="7"/>
        </w:numPr>
        <w:spacing w:line="360" w:lineRule="auto"/>
        <w:jc w:val="both"/>
        <w:rPr>
          <w:sz w:val="32"/>
          <w:szCs w:val="32"/>
        </w:rPr>
      </w:pPr>
      <w:r w:rsidRPr="008009F8">
        <w:rPr>
          <w:sz w:val="32"/>
          <w:szCs w:val="32"/>
          <w:rtl/>
        </w:rPr>
        <w:t>لجنة من أساتذة التفسير، التفسير الميسر، مجمع الملك فهد لطباعة المصحف الشريف، السعودية، ط2، 2009م، ج1.</w:t>
      </w:r>
    </w:p>
    <w:p w:rsidR="00B97321" w:rsidRPr="008009F8" w:rsidRDefault="00B97321" w:rsidP="008A5D2D">
      <w:pPr>
        <w:pStyle w:val="Notedebasdepage"/>
        <w:numPr>
          <w:ilvl w:val="0"/>
          <w:numId w:val="7"/>
        </w:numPr>
        <w:spacing w:line="360" w:lineRule="auto"/>
        <w:jc w:val="both"/>
        <w:rPr>
          <w:sz w:val="32"/>
          <w:szCs w:val="32"/>
        </w:rPr>
      </w:pPr>
      <w:r w:rsidRPr="008009F8">
        <w:rPr>
          <w:sz w:val="32"/>
          <w:szCs w:val="32"/>
          <w:rtl/>
        </w:rPr>
        <w:t>لجنة من علماء الأزهر، المنتخب في تفسير القرآن الكريم، المجلس الأعلى للشؤون الإسلامية، مصر، ط18، 1995م، ج1.</w:t>
      </w:r>
    </w:p>
    <w:p w:rsidR="00B97321" w:rsidRPr="008009F8" w:rsidRDefault="00B97321" w:rsidP="008A5D2D">
      <w:pPr>
        <w:pStyle w:val="Notedebasdepage"/>
        <w:numPr>
          <w:ilvl w:val="0"/>
          <w:numId w:val="7"/>
        </w:numPr>
        <w:spacing w:line="360" w:lineRule="auto"/>
        <w:jc w:val="both"/>
        <w:rPr>
          <w:sz w:val="32"/>
          <w:szCs w:val="32"/>
        </w:rPr>
      </w:pPr>
      <w:r w:rsidRPr="008009F8">
        <w:rPr>
          <w:sz w:val="32"/>
          <w:szCs w:val="32"/>
          <w:rtl/>
        </w:rPr>
        <w:t xml:space="preserve">محمد </w:t>
      </w:r>
      <w:proofErr w:type="spellStart"/>
      <w:r w:rsidRPr="008009F8">
        <w:rPr>
          <w:sz w:val="32"/>
          <w:szCs w:val="32"/>
          <w:rtl/>
        </w:rPr>
        <w:t>محمد</w:t>
      </w:r>
      <w:proofErr w:type="spellEnd"/>
      <w:r w:rsidRPr="008009F8">
        <w:rPr>
          <w:sz w:val="32"/>
          <w:szCs w:val="32"/>
          <w:rtl/>
        </w:rPr>
        <w:t xml:space="preserve"> عبد اللطيف بن الخطيب، أوضح التفاسير المطبعة المصرية مكتبتها، ط6، 1964م، ج1.</w:t>
      </w:r>
    </w:p>
    <w:p w:rsidR="00AC0072" w:rsidRDefault="00AC0072" w:rsidP="008A5D2D">
      <w:pPr>
        <w:pStyle w:val="Notedebasdepage"/>
        <w:spacing w:line="360" w:lineRule="auto"/>
        <w:jc w:val="both"/>
        <w:rPr>
          <w:b/>
          <w:bCs/>
          <w:sz w:val="36"/>
          <w:szCs w:val="36"/>
        </w:rPr>
      </w:pPr>
    </w:p>
    <w:p w:rsidR="00AC0072" w:rsidRDefault="00AC0072" w:rsidP="008A5D2D">
      <w:pPr>
        <w:pStyle w:val="Notedebasdepage"/>
        <w:spacing w:line="360" w:lineRule="auto"/>
        <w:jc w:val="both"/>
        <w:rPr>
          <w:b/>
          <w:bCs/>
          <w:sz w:val="36"/>
          <w:szCs w:val="36"/>
        </w:rPr>
      </w:pPr>
    </w:p>
    <w:p w:rsidR="00B97321" w:rsidRDefault="00B97321" w:rsidP="008A5D2D">
      <w:pPr>
        <w:pStyle w:val="Notedebasdepage"/>
        <w:spacing w:line="360" w:lineRule="auto"/>
        <w:jc w:val="both"/>
        <w:rPr>
          <w:b/>
          <w:bCs/>
          <w:sz w:val="36"/>
          <w:szCs w:val="36"/>
        </w:rPr>
      </w:pPr>
      <w:r>
        <w:rPr>
          <w:rFonts w:hint="cs"/>
          <w:b/>
          <w:bCs/>
          <w:sz w:val="36"/>
          <w:szCs w:val="36"/>
          <w:rtl/>
        </w:rPr>
        <w:lastRenderedPageBreak/>
        <w:t xml:space="preserve">رابعا: </w:t>
      </w:r>
      <w:r>
        <w:rPr>
          <w:b/>
          <w:bCs/>
          <w:sz w:val="36"/>
          <w:szCs w:val="36"/>
          <w:rtl/>
        </w:rPr>
        <w:t>كتب التخريج</w:t>
      </w:r>
    </w:p>
    <w:p w:rsidR="00B97321" w:rsidRDefault="00B97321" w:rsidP="008A5D2D">
      <w:pPr>
        <w:pStyle w:val="Paragraphedeliste"/>
        <w:numPr>
          <w:ilvl w:val="0"/>
          <w:numId w:val="7"/>
        </w:numPr>
        <w:bidi/>
        <w:spacing w:line="360" w:lineRule="auto"/>
        <w:jc w:val="both"/>
        <w:rPr>
          <w:rFonts w:ascii="Simplified Arabic" w:hAnsi="Simplified Arabic" w:cs="Simplified Arabic"/>
          <w:sz w:val="32"/>
          <w:szCs w:val="32"/>
        </w:rPr>
      </w:pPr>
      <w:r w:rsidRPr="00A9417C">
        <w:rPr>
          <w:rFonts w:ascii="Simplified Arabic" w:hAnsi="Simplified Arabic" w:cs="Simplified Arabic"/>
          <w:sz w:val="32"/>
          <w:szCs w:val="32"/>
          <w:rtl/>
        </w:rPr>
        <w:t>المتقي الهندي، كنز العمال في سنن الأقوال والأفعال، مؤسسة الرسالة، ط5، 1981م، ج10.</w:t>
      </w:r>
    </w:p>
    <w:p w:rsidR="00B97321" w:rsidRDefault="00B97321" w:rsidP="008A5D2D">
      <w:pPr>
        <w:pStyle w:val="Paragraphedeliste"/>
        <w:numPr>
          <w:ilvl w:val="0"/>
          <w:numId w:val="7"/>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lang w:bidi="ar-DZ"/>
        </w:rPr>
        <w:t>مجد الدين، جامع الأصول في أحاديث الرسول، دار الكتب العلمية، بيروت، ط1، 1971، ج6.</w:t>
      </w:r>
    </w:p>
    <w:p w:rsidR="00B97321" w:rsidRPr="008009F8" w:rsidRDefault="00B97321" w:rsidP="008A5D2D">
      <w:pPr>
        <w:pStyle w:val="Paragraphedeliste"/>
        <w:numPr>
          <w:ilvl w:val="0"/>
          <w:numId w:val="7"/>
        </w:numPr>
        <w:bidi/>
        <w:spacing w:line="360" w:lineRule="auto"/>
        <w:jc w:val="both"/>
        <w:rPr>
          <w:rFonts w:ascii="Simplified Arabic" w:hAnsi="Simplified Arabic" w:cs="Simplified Arabic"/>
          <w:sz w:val="32"/>
          <w:szCs w:val="32"/>
        </w:rPr>
      </w:pPr>
      <w:r>
        <w:rPr>
          <w:rFonts w:ascii="Simplified Arabic" w:hAnsi="Simplified Arabic" w:cs="Simplified Arabic" w:hint="cs"/>
          <w:sz w:val="32"/>
          <w:szCs w:val="32"/>
          <w:rtl/>
          <w:lang w:bidi="ar-DZ"/>
        </w:rPr>
        <w:t xml:space="preserve">أبو علي بن سليمان بن </w:t>
      </w:r>
      <w:proofErr w:type="spellStart"/>
      <w:r>
        <w:rPr>
          <w:rFonts w:ascii="Simplified Arabic" w:hAnsi="Simplified Arabic" w:cs="Simplified Arabic" w:hint="cs"/>
          <w:sz w:val="32"/>
          <w:szCs w:val="32"/>
          <w:rtl/>
          <w:lang w:bidi="ar-DZ"/>
        </w:rPr>
        <w:t>دريح</w:t>
      </w:r>
      <w:proofErr w:type="spellEnd"/>
      <w:r>
        <w:rPr>
          <w:rFonts w:ascii="Simplified Arabic" w:hAnsi="Simplified Arabic" w:cs="Simplified Arabic" w:hint="cs"/>
          <w:sz w:val="32"/>
          <w:szCs w:val="32"/>
          <w:rtl/>
          <w:lang w:bidi="ar-DZ"/>
        </w:rPr>
        <w:t xml:space="preserve">، جمع الفوائد من جامع الأصول ومجمع الزوائد، مكتبة </w:t>
      </w:r>
      <w:proofErr w:type="spellStart"/>
      <w:r>
        <w:rPr>
          <w:rFonts w:ascii="Simplified Arabic" w:hAnsi="Simplified Arabic" w:cs="Simplified Arabic" w:hint="cs"/>
          <w:sz w:val="32"/>
          <w:szCs w:val="32"/>
          <w:rtl/>
          <w:lang w:bidi="ar-DZ"/>
        </w:rPr>
        <w:t>إبن</w:t>
      </w:r>
      <w:proofErr w:type="spellEnd"/>
      <w:r>
        <w:rPr>
          <w:rFonts w:ascii="Simplified Arabic" w:hAnsi="Simplified Arabic" w:cs="Simplified Arabic" w:hint="cs"/>
          <w:sz w:val="32"/>
          <w:szCs w:val="32"/>
          <w:rtl/>
          <w:lang w:bidi="ar-DZ"/>
        </w:rPr>
        <w:t xml:space="preserve"> كثير، الكويت، ط1، 1998م، ج2.</w:t>
      </w:r>
    </w:p>
    <w:p w:rsidR="00B97321" w:rsidRPr="008A5EEE" w:rsidRDefault="00B97321" w:rsidP="008A5D2D">
      <w:pPr>
        <w:pStyle w:val="Notedebasdepage"/>
        <w:spacing w:line="360" w:lineRule="auto"/>
        <w:jc w:val="both"/>
        <w:rPr>
          <w:b/>
          <w:bCs/>
          <w:sz w:val="36"/>
          <w:szCs w:val="36"/>
          <w:rtl/>
        </w:rPr>
      </w:pPr>
      <w:r>
        <w:rPr>
          <w:rFonts w:hint="cs"/>
          <w:b/>
          <w:bCs/>
          <w:sz w:val="36"/>
          <w:szCs w:val="36"/>
          <w:rtl/>
        </w:rPr>
        <w:t xml:space="preserve">خامسا: </w:t>
      </w:r>
      <w:r>
        <w:rPr>
          <w:b/>
          <w:bCs/>
          <w:sz w:val="36"/>
          <w:szCs w:val="36"/>
          <w:rtl/>
        </w:rPr>
        <w:t>الكتب القانونية</w:t>
      </w:r>
    </w:p>
    <w:p w:rsidR="00B97321" w:rsidRPr="008A5EEE" w:rsidRDefault="00B97321" w:rsidP="008A5D2D">
      <w:pPr>
        <w:pStyle w:val="Notedebasdepage"/>
        <w:numPr>
          <w:ilvl w:val="0"/>
          <w:numId w:val="12"/>
        </w:numPr>
        <w:spacing w:line="360" w:lineRule="auto"/>
        <w:jc w:val="both"/>
        <w:rPr>
          <w:b/>
          <w:bCs/>
          <w:sz w:val="34"/>
          <w:szCs w:val="34"/>
          <w:rtl/>
        </w:rPr>
      </w:pPr>
      <w:r w:rsidRPr="008A5EEE">
        <w:rPr>
          <w:b/>
          <w:bCs/>
          <w:sz w:val="34"/>
          <w:szCs w:val="34"/>
          <w:rtl/>
        </w:rPr>
        <w:t>الكتب العامة:</w:t>
      </w:r>
    </w:p>
    <w:p w:rsidR="00B97321" w:rsidRPr="008A5EEE" w:rsidRDefault="00B97321" w:rsidP="008A5D2D">
      <w:pPr>
        <w:pStyle w:val="Notedebasdepage"/>
        <w:numPr>
          <w:ilvl w:val="0"/>
          <w:numId w:val="8"/>
        </w:numPr>
        <w:spacing w:line="360" w:lineRule="auto"/>
        <w:jc w:val="both"/>
        <w:rPr>
          <w:sz w:val="32"/>
          <w:szCs w:val="32"/>
          <w:rtl/>
        </w:rPr>
      </w:pPr>
      <w:r w:rsidRPr="008A5EEE">
        <w:rPr>
          <w:sz w:val="32"/>
          <w:szCs w:val="32"/>
          <w:rtl/>
        </w:rPr>
        <w:t xml:space="preserve">ابن </w:t>
      </w:r>
      <w:proofErr w:type="spellStart"/>
      <w:r w:rsidRPr="008A5EEE">
        <w:rPr>
          <w:sz w:val="32"/>
          <w:szCs w:val="32"/>
          <w:rtl/>
        </w:rPr>
        <w:t>صاولة</w:t>
      </w:r>
      <w:proofErr w:type="spellEnd"/>
      <w:r w:rsidRPr="008A5EEE">
        <w:rPr>
          <w:sz w:val="32"/>
          <w:szCs w:val="32"/>
          <w:rtl/>
        </w:rPr>
        <w:t xml:space="preserve"> شفيقة، الصلح في المادة الإدارية، دار هومة، الجزائر، ط1، 2016.</w:t>
      </w:r>
    </w:p>
    <w:p w:rsidR="00B97321" w:rsidRPr="008A5EEE" w:rsidRDefault="00B97321" w:rsidP="008A5D2D">
      <w:pPr>
        <w:pStyle w:val="Notedebasdepage"/>
        <w:numPr>
          <w:ilvl w:val="0"/>
          <w:numId w:val="8"/>
        </w:numPr>
        <w:spacing w:line="360" w:lineRule="auto"/>
        <w:jc w:val="both"/>
        <w:rPr>
          <w:sz w:val="32"/>
          <w:szCs w:val="32"/>
          <w:rtl/>
        </w:rPr>
      </w:pPr>
      <w:r w:rsidRPr="008A5EEE">
        <w:rPr>
          <w:sz w:val="32"/>
          <w:szCs w:val="32"/>
          <w:rtl/>
        </w:rPr>
        <w:t>برابرة عبد الرحمان، شرح قانون الإجراءات المدنية والإدارية، منشورات بغدادي، الجزائر، ط2، 2009.</w:t>
      </w:r>
    </w:p>
    <w:p w:rsidR="00B97321" w:rsidRPr="008009F8" w:rsidRDefault="00B97321" w:rsidP="008A5D2D">
      <w:pPr>
        <w:pStyle w:val="Notedebasdepage"/>
        <w:numPr>
          <w:ilvl w:val="0"/>
          <w:numId w:val="8"/>
        </w:numPr>
        <w:spacing w:line="360" w:lineRule="auto"/>
        <w:jc w:val="both"/>
        <w:rPr>
          <w:sz w:val="32"/>
          <w:szCs w:val="32"/>
          <w:rtl/>
        </w:rPr>
      </w:pPr>
      <w:r w:rsidRPr="008009F8">
        <w:rPr>
          <w:sz w:val="32"/>
          <w:szCs w:val="32"/>
          <w:rtl/>
        </w:rPr>
        <w:t>عبد الرزاق السنهوري، الوسيط في شرح القانون المدني، دار إحياء التراث العربي، بيروت، ج5.</w:t>
      </w:r>
    </w:p>
    <w:p w:rsidR="00B97321" w:rsidRPr="008009F8" w:rsidRDefault="00B97321" w:rsidP="008A5D2D">
      <w:pPr>
        <w:pStyle w:val="Notedebasdepage"/>
        <w:numPr>
          <w:ilvl w:val="0"/>
          <w:numId w:val="8"/>
        </w:numPr>
        <w:spacing w:line="360" w:lineRule="auto"/>
        <w:jc w:val="both"/>
        <w:rPr>
          <w:sz w:val="32"/>
          <w:szCs w:val="32"/>
          <w:rtl/>
        </w:rPr>
      </w:pPr>
      <w:r w:rsidRPr="008009F8">
        <w:rPr>
          <w:sz w:val="32"/>
          <w:szCs w:val="32"/>
          <w:rtl/>
        </w:rPr>
        <w:t>عبد الرزاق السنهوري، الوسيط في شرح القانون المدني، دار إحياء التراث العربي، لبنان، ج1.</w:t>
      </w:r>
    </w:p>
    <w:p w:rsidR="00B97321" w:rsidRPr="00A9417C" w:rsidRDefault="00B97321" w:rsidP="008A5D2D">
      <w:pPr>
        <w:pStyle w:val="Paragraphedeliste"/>
        <w:numPr>
          <w:ilvl w:val="0"/>
          <w:numId w:val="8"/>
        </w:numPr>
        <w:bidi/>
        <w:spacing w:line="360" w:lineRule="auto"/>
        <w:jc w:val="both"/>
        <w:rPr>
          <w:rFonts w:ascii="Simplified Arabic" w:hAnsi="Simplified Arabic" w:cs="Simplified Arabic"/>
        </w:rPr>
      </w:pPr>
      <w:r w:rsidRPr="00A9417C">
        <w:rPr>
          <w:rFonts w:ascii="Simplified Arabic" w:hAnsi="Simplified Arabic" w:cs="Simplified Arabic"/>
          <w:sz w:val="32"/>
          <w:szCs w:val="32"/>
          <w:rtl/>
        </w:rPr>
        <w:lastRenderedPageBreak/>
        <w:t xml:space="preserve">عبد الرزاق السنهوري، مصادر الحق في الفقه الإسلامي، دار إحياء التراث العربي، بيروت، </w:t>
      </w:r>
      <w:proofErr w:type="spellStart"/>
      <w:r w:rsidRPr="00A9417C">
        <w:rPr>
          <w:rFonts w:ascii="Simplified Arabic" w:hAnsi="Simplified Arabic" w:cs="Simplified Arabic"/>
          <w:sz w:val="32"/>
          <w:szCs w:val="32"/>
          <w:rtl/>
        </w:rPr>
        <w:t>د.ط</w:t>
      </w:r>
      <w:proofErr w:type="spellEnd"/>
      <w:r w:rsidRPr="00A9417C">
        <w:rPr>
          <w:rFonts w:ascii="Simplified Arabic" w:hAnsi="Simplified Arabic" w:cs="Simplified Arabic"/>
          <w:sz w:val="32"/>
          <w:szCs w:val="32"/>
          <w:rtl/>
        </w:rPr>
        <w:t>، 1967، ج2.</w:t>
      </w:r>
    </w:p>
    <w:p w:rsidR="00B97321" w:rsidRPr="008A5EEE" w:rsidRDefault="00B97321" w:rsidP="008A5D2D">
      <w:pPr>
        <w:pStyle w:val="Notedebasdepage"/>
        <w:numPr>
          <w:ilvl w:val="0"/>
          <w:numId w:val="8"/>
        </w:numPr>
        <w:spacing w:line="360" w:lineRule="auto"/>
        <w:jc w:val="both"/>
        <w:rPr>
          <w:sz w:val="32"/>
          <w:szCs w:val="32"/>
          <w:rtl/>
        </w:rPr>
      </w:pPr>
      <w:r w:rsidRPr="008A5EEE">
        <w:rPr>
          <w:sz w:val="32"/>
          <w:szCs w:val="32"/>
          <w:rtl/>
        </w:rPr>
        <w:t>عبد العزيز سعد، الزواج والطلاق في قانون الأسرة الجزائري، دار هومة، الجزائر، ط3، 1996.</w:t>
      </w:r>
    </w:p>
    <w:p w:rsidR="00B97321" w:rsidRPr="008A5EEE" w:rsidRDefault="00B97321" w:rsidP="008A5D2D">
      <w:pPr>
        <w:pStyle w:val="Notedebasdepage"/>
        <w:numPr>
          <w:ilvl w:val="0"/>
          <w:numId w:val="8"/>
        </w:numPr>
        <w:spacing w:line="360" w:lineRule="auto"/>
        <w:jc w:val="both"/>
        <w:rPr>
          <w:sz w:val="32"/>
          <w:szCs w:val="32"/>
          <w:rtl/>
        </w:rPr>
      </w:pPr>
      <w:r w:rsidRPr="008A5EEE">
        <w:rPr>
          <w:sz w:val="32"/>
          <w:szCs w:val="32"/>
          <w:rtl/>
        </w:rPr>
        <w:t xml:space="preserve">العربي بلحاج، الوجيز في شرح قانون الأسرة الجزائري، ديوان المطبوعات الجامعية، </w:t>
      </w:r>
      <w:proofErr w:type="spellStart"/>
      <w:r w:rsidRPr="008A5EEE">
        <w:rPr>
          <w:sz w:val="32"/>
          <w:szCs w:val="32"/>
          <w:rtl/>
        </w:rPr>
        <w:t>د.ط</w:t>
      </w:r>
      <w:proofErr w:type="spellEnd"/>
      <w:r w:rsidRPr="008A5EEE">
        <w:rPr>
          <w:sz w:val="32"/>
          <w:szCs w:val="32"/>
          <w:rtl/>
        </w:rPr>
        <w:t>، 2002.</w:t>
      </w:r>
    </w:p>
    <w:p w:rsidR="00B97321" w:rsidRPr="008A5EEE" w:rsidRDefault="00B97321" w:rsidP="008A5D2D">
      <w:pPr>
        <w:pStyle w:val="Notedebasdepage"/>
        <w:numPr>
          <w:ilvl w:val="0"/>
          <w:numId w:val="8"/>
        </w:numPr>
        <w:spacing w:line="360" w:lineRule="auto"/>
        <w:jc w:val="both"/>
        <w:rPr>
          <w:sz w:val="32"/>
          <w:szCs w:val="32"/>
          <w:rtl/>
        </w:rPr>
      </w:pPr>
      <w:proofErr w:type="spellStart"/>
      <w:r w:rsidRPr="008A5EEE">
        <w:rPr>
          <w:sz w:val="32"/>
          <w:szCs w:val="32"/>
          <w:rtl/>
        </w:rPr>
        <w:t>الغوثي</w:t>
      </w:r>
      <w:proofErr w:type="spellEnd"/>
      <w:r w:rsidRPr="008A5EEE">
        <w:rPr>
          <w:sz w:val="32"/>
          <w:szCs w:val="32"/>
          <w:rtl/>
        </w:rPr>
        <w:t xml:space="preserve"> بن ملحة، القانون القضائي الجزائري، الديوان الوطني للأشغال التربوية، الجزائر، ط2، 2000. </w:t>
      </w:r>
    </w:p>
    <w:p w:rsidR="00B97321" w:rsidRPr="008A5EEE" w:rsidRDefault="00B97321" w:rsidP="008A5D2D">
      <w:pPr>
        <w:pStyle w:val="Notedebasdepage"/>
        <w:numPr>
          <w:ilvl w:val="0"/>
          <w:numId w:val="8"/>
        </w:numPr>
        <w:spacing w:line="360" w:lineRule="auto"/>
        <w:jc w:val="both"/>
        <w:rPr>
          <w:sz w:val="32"/>
          <w:szCs w:val="32"/>
          <w:rtl/>
        </w:rPr>
      </w:pPr>
      <w:r w:rsidRPr="008A5EEE">
        <w:rPr>
          <w:sz w:val="32"/>
          <w:szCs w:val="32"/>
          <w:rtl/>
        </w:rPr>
        <w:t xml:space="preserve">فضيل العيش، الصلح في المنازعات الإدارية وفي القوانين الأخرى، منشورات بغدادي، </w:t>
      </w:r>
      <w:proofErr w:type="spellStart"/>
      <w:r w:rsidRPr="008A5EEE">
        <w:rPr>
          <w:sz w:val="32"/>
          <w:szCs w:val="32"/>
          <w:rtl/>
        </w:rPr>
        <w:t>د.ط</w:t>
      </w:r>
      <w:proofErr w:type="spellEnd"/>
      <w:r w:rsidRPr="008A5EEE">
        <w:rPr>
          <w:sz w:val="32"/>
          <w:szCs w:val="32"/>
          <w:rtl/>
        </w:rPr>
        <w:t>، د.ت.</w:t>
      </w:r>
    </w:p>
    <w:p w:rsidR="00B97321" w:rsidRPr="008A5EEE" w:rsidRDefault="00B97321" w:rsidP="008A5D2D">
      <w:pPr>
        <w:pStyle w:val="Notedebasdepage"/>
        <w:numPr>
          <w:ilvl w:val="0"/>
          <w:numId w:val="8"/>
        </w:numPr>
        <w:spacing w:line="360" w:lineRule="auto"/>
        <w:ind w:left="565"/>
        <w:jc w:val="both"/>
        <w:rPr>
          <w:sz w:val="32"/>
          <w:szCs w:val="32"/>
          <w:rtl/>
        </w:rPr>
      </w:pPr>
      <w:r w:rsidRPr="008A5EEE">
        <w:rPr>
          <w:sz w:val="32"/>
          <w:szCs w:val="32"/>
          <w:rtl/>
        </w:rPr>
        <w:t xml:space="preserve">فضيل سعد، شرح قانون الأسرة الجزائري (الزواج والطلاق)، المؤسسة الوطنية للكتاب، الجزائر، 1986، ج1. </w:t>
      </w:r>
    </w:p>
    <w:p w:rsidR="00B97321" w:rsidRPr="008A5EEE" w:rsidRDefault="00B97321" w:rsidP="008A5D2D">
      <w:pPr>
        <w:pStyle w:val="Notedebasdepage"/>
        <w:numPr>
          <w:ilvl w:val="0"/>
          <w:numId w:val="8"/>
        </w:numPr>
        <w:spacing w:line="360" w:lineRule="auto"/>
        <w:ind w:left="565"/>
        <w:jc w:val="both"/>
        <w:rPr>
          <w:sz w:val="32"/>
          <w:szCs w:val="32"/>
          <w:rtl/>
        </w:rPr>
      </w:pPr>
      <w:r w:rsidRPr="008A5EEE">
        <w:rPr>
          <w:sz w:val="32"/>
          <w:szCs w:val="32"/>
          <w:rtl/>
        </w:rPr>
        <w:t xml:space="preserve">محمد فتحي نجيب، قانون إجراءات التقاضي في الأحوال الشخصية، دار الشروق، القاهرة، ط1، 2002. </w:t>
      </w:r>
    </w:p>
    <w:p w:rsidR="00B97321" w:rsidRPr="008A5EEE" w:rsidRDefault="00B97321" w:rsidP="008A5D2D">
      <w:pPr>
        <w:pStyle w:val="Notedebasdepage"/>
        <w:numPr>
          <w:ilvl w:val="0"/>
          <w:numId w:val="12"/>
        </w:numPr>
        <w:spacing w:line="360" w:lineRule="auto"/>
        <w:jc w:val="both"/>
        <w:rPr>
          <w:b/>
          <w:bCs/>
          <w:sz w:val="34"/>
          <w:szCs w:val="34"/>
          <w:rtl/>
        </w:rPr>
      </w:pPr>
      <w:r>
        <w:rPr>
          <w:b/>
          <w:bCs/>
          <w:sz w:val="34"/>
          <w:szCs w:val="34"/>
          <w:rtl/>
        </w:rPr>
        <w:t>الكتب الخاصة</w:t>
      </w:r>
    </w:p>
    <w:p w:rsidR="00B97321" w:rsidRPr="008A5EEE" w:rsidRDefault="00B97321" w:rsidP="008A5D2D">
      <w:pPr>
        <w:pStyle w:val="Notedebasdepage"/>
        <w:numPr>
          <w:ilvl w:val="0"/>
          <w:numId w:val="9"/>
        </w:numPr>
        <w:spacing w:line="360" w:lineRule="auto"/>
        <w:jc w:val="both"/>
        <w:rPr>
          <w:sz w:val="32"/>
          <w:szCs w:val="32"/>
          <w:rtl/>
        </w:rPr>
      </w:pPr>
      <w:r w:rsidRPr="008A5EEE">
        <w:rPr>
          <w:sz w:val="32"/>
          <w:szCs w:val="32"/>
          <w:rtl/>
        </w:rPr>
        <w:t xml:space="preserve">الأنصاري حسن </w:t>
      </w:r>
      <w:proofErr w:type="spellStart"/>
      <w:r w:rsidRPr="008A5EEE">
        <w:rPr>
          <w:sz w:val="32"/>
          <w:szCs w:val="32"/>
          <w:rtl/>
        </w:rPr>
        <w:t>النيداني</w:t>
      </w:r>
      <w:proofErr w:type="spellEnd"/>
      <w:r w:rsidRPr="008A5EEE">
        <w:rPr>
          <w:sz w:val="32"/>
          <w:szCs w:val="32"/>
          <w:rtl/>
        </w:rPr>
        <w:t xml:space="preserve">، الصلح القضائي، دار الجامعة الجديدة، الإسكندرية، </w:t>
      </w:r>
      <w:proofErr w:type="spellStart"/>
      <w:r w:rsidRPr="008A5EEE">
        <w:rPr>
          <w:sz w:val="32"/>
          <w:szCs w:val="32"/>
          <w:rtl/>
        </w:rPr>
        <w:t>د.ط</w:t>
      </w:r>
      <w:proofErr w:type="spellEnd"/>
      <w:r w:rsidRPr="008A5EEE">
        <w:rPr>
          <w:sz w:val="32"/>
          <w:szCs w:val="32"/>
          <w:rtl/>
        </w:rPr>
        <w:t xml:space="preserve">، 2001. </w:t>
      </w:r>
    </w:p>
    <w:p w:rsidR="00B97321" w:rsidRPr="008A5EEE" w:rsidRDefault="00B97321" w:rsidP="008A5D2D">
      <w:pPr>
        <w:pStyle w:val="Notedebasdepage"/>
        <w:numPr>
          <w:ilvl w:val="0"/>
          <w:numId w:val="9"/>
        </w:numPr>
        <w:spacing w:line="360" w:lineRule="auto"/>
        <w:jc w:val="both"/>
        <w:rPr>
          <w:sz w:val="32"/>
          <w:szCs w:val="32"/>
        </w:rPr>
      </w:pPr>
      <w:r w:rsidRPr="008A5EEE">
        <w:rPr>
          <w:sz w:val="32"/>
          <w:szCs w:val="32"/>
          <w:rtl/>
        </w:rPr>
        <w:lastRenderedPageBreak/>
        <w:t xml:space="preserve">خالد عبد الحسين الحديثي، عقد الصلح، منشورات الحلبي الحقوقية، ط1، 2015. </w:t>
      </w:r>
    </w:p>
    <w:p w:rsidR="00B97321" w:rsidRPr="008A5EEE" w:rsidRDefault="00B97321" w:rsidP="008A5D2D">
      <w:pPr>
        <w:pStyle w:val="Notedebasdepage"/>
        <w:numPr>
          <w:ilvl w:val="0"/>
          <w:numId w:val="9"/>
        </w:numPr>
        <w:spacing w:line="360" w:lineRule="auto"/>
        <w:jc w:val="both"/>
        <w:rPr>
          <w:sz w:val="32"/>
          <w:szCs w:val="32"/>
          <w:rtl/>
        </w:rPr>
      </w:pPr>
      <w:r w:rsidRPr="008A5EEE">
        <w:rPr>
          <w:sz w:val="32"/>
          <w:szCs w:val="32"/>
          <w:rtl/>
        </w:rPr>
        <w:t xml:space="preserve">سليم باز، شرح مجلة الأحكام العدلية، بيروت، </w:t>
      </w:r>
      <w:proofErr w:type="spellStart"/>
      <w:r w:rsidRPr="008A5EEE">
        <w:rPr>
          <w:sz w:val="32"/>
          <w:szCs w:val="32"/>
          <w:rtl/>
        </w:rPr>
        <w:t>د.ط</w:t>
      </w:r>
      <w:proofErr w:type="spellEnd"/>
      <w:r w:rsidRPr="008A5EEE">
        <w:rPr>
          <w:sz w:val="32"/>
          <w:szCs w:val="32"/>
          <w:rtl/>
        </w:rPr>
        <w:t>، د.ت، 1889.</w:t>
      </w:r>
    </w:p>
    <w:p w:rsidR="00B97321" w:rsidRPr="008A5EEE" w:rsidRDefault="00B97321" w:rsidP="008A5D2D">
      <w:pPr>
        <w:pStyle w:val="Notedebasdepage"/>
        <w:numPr>
          <w:ilvl w:val="0"/>
          <w:numId w:val="9"/>
        </w:numPr>
        <w:spacing w:line="360" w:lineRule="auto"/>
        <w:jc w:val="both"/>
        <w:rPr>
          <w:sz w:val="32"/>
          <w:szCs w:val="32"/>
          <w:rtl/>
        </w:rPr>
      </w:pPr>
      <w:r w:rsidRPr="008A5EEE">
        <w:rPr>
          <w:sz w:val="32"/>
          <w:szCs w:val="32"/>
          <w:rtl/>
        </w:rPr>
        <w:t xml:space="preserve">عبد المؤمن بالباقي، التفريق القضائي بين الزوجين في الفقه الإسلامي، دار الهدى، </w:t>
      </w:r>
      <w:proofErr w:type="spellStart"/>
      <w:r w:rsidRPr="008A5EEE">
        <w:rPr>
          <w:sz w:val="32"/>
          <w:szCs w:val="32"/>
          <w:rtl/>
        </w:rPr>
        <w:t>د.ط</w:t>
      </w:r>
      <w:proofErr w:type="spellEnd"/>
      <w:r w:rsidRPr="008A5EEE">
        <w:rPr>
          <w:sz w:val="32"/>
          <w:szCs w:val="32"/>
          <w:rtl/>
        </w:rPr>
        <w:t>، 2001.</w:t>
      </w:r>
    </w:p>
    <w:p w:rsidR="00B97321" w:rsidRPr="008A5EEE" w:rsidRDefault="00B97321" w:rsidP="008A5D2D">
      <w:pPr>
        <w:pStyle w:val="Notedebasdepage"/>
        <w:numPr>
          <w:ilvl w:val="0"/>
          <w:numId w:val="9"/>
        </w:numPr>
        <w:spacing w:line="360" w:lineRule="auto"/>
        <w:jc w:val="both"/>
        <w:rPr>
          <w:sz w:val="32"/>
          <w:szCs w:val="32"/>
          <w:rtl/>
        </w:rPr>
      </w:pPr>
      <w:r w:rsidRPr="008A5EEE">
        <w:rPr>
          <w:sz w:val="32"/>
          <w:szCs w:val="32"/>
          <w:rtl/>
        </w:rPr>
        <w:t>محمد قدري باشا، مرشد الحيران إلى معرفة أحوال الإنسان، نظارة المعارف العمومية، غزة، ط2، 1891.</w:t>
      </w:r>
    </w:p>
    <w:p w:rsidR="00B97321" w:rsidRPr="008A5EEE" w:rsidRDefault="00B97321" w:rsidP="008A5D2D">
      <w:pPr>
        <w:pStyle w:val="Notedebasdepage"/>
        <w:numPr>
          <w:ilvl w:val="0"/>
          <w:numId w:val="9"/>
        </w:numPr>
        <w:spacing w:line="360" w:lineRule="auto"/>
        <w:jc w:val="both"/>
        <w:rPr>
          <w:sz w:val="32"/>
          <w:szCs w:val="32"/>
          <w:rtl/>
        </w:rPr>
      </w:pPr>
      <w:r w:rsidRPr="008A5EEE">
        <w:rPr>
          <w:sz w:val="32"/>
          <w:szCs w:val="32"/>
          <w:rtl/>
        </w:rPr>
        <w:t>وزارة الأوقاف والشؤون الإسلامية الكويتية، الموسوعة الفقهية الكويتية، مطابع دار الصفوة، الكويت، ط1، د.ت، ج27.</w:t>
      </w:r>
    </w:p>
    <w:p w:rsidR="00B97321" w:rsidRPr="008A5EEE" w:rsidRDefault="00B97321" w:rsidP="008A5D2D">
      <w:pPr>
        <w:spacing w:line="360" w:lineRule="auto"/>
        <w:jc w:val="both"/>
        <w:rPr>
          <w:b/>
          <w:bCs/>
          <w:sz w:val="36"/>
          <w:szCs w:val="36"/>
        </w:rPr>
      </w:pPr>
      <w:r>
        <w:rPr>
          <w:rFonts w:hint="cs"/>
          <w:b/>
          <w:bCs/>
          <w:sz w:val="36"/>
          <w:szCs w:val="36"/>
          <w:rtl/>
        </w:rPr>
        <w:t xml:space="preserve">سادسا: </w:t>
      </w:r>
      <w:r>
        <w:rPr>
          <w:b/>
          <w:bCs/>
          <w:sz w:val="36"/>
          <w:szCs w:val="36"/>
          <w:rtl/>
        </w:rPr>
        <w:t>المقالات والدوريات</w:t>
      </w:r>
    </w:p>
    <w:p w:rsidR="00B97321" w:rsidRPr="008A5EEE" w:rsidRDefault="00B97321" w:rsidP="008A5D2D">
      <w:pPr>
        <w:pStyle w:val="Notedebasdepage"/>
        <w:numPr>
          <w:ilvl w:val="0"/>
          <w:numId w:val="10"/>
        </w:numPr>
        <w:spacing w:line="360" w:lineRule="auto"/>
        <w:jc w:val="both"/>
        <w:rPr>
          <w:sz w:val="32"/>
          <w:szCs w:val="32"/>
          <w:rtl/>
        </w:rPr>
      </w:pPr>
      <w:r w:rsidRPr="008A5EEE">
        <w:rPr>
          <w:sz w:val="32"/>
          <w:szCs w:val="32"/>
          <w:rtl/>
        </w:rPr>
        <w:t xml:space="preserve">عبد الله بن محمد سعد آل حنين، قضايا وأحكام ، مجلة العدل، السعودية، العدد 28، 1426هـ. </w:t>
      </w:r>
    </w:p>
    <w:p w:rsidR="00B97321" w:rsidRPr="008A5EEE" w:rsidRDefault="00B97321" w:rsidP="008A5D2D">
      <w:pPr>
        <w:pStyle w:val="Notedebasdepage"/>
        <w:numPr>
          <w:ilvl w:val="0"/>
          <w:numId w:val="10"/>
        </w:numPr>
        <w:spacing w:line="360" w:lineRule="auto"/>
        <w:jc w:val="both"/>
        <w:rPr>
          <w:sz w:val="32"/>
          <w:szCs w:val="32"/>
          <w:rtl/>
        </w:rPr>
      </w:pPr>
      <w:r w:rsidRPr="008A5EEE">
        <w:rPr>
          <w:sz w:val="32"/>
          <w:szCs w:val="32"/>
          <w:rtl/>
        </w:rPr>
        <w:t xml:space="preserve">فكري حلمي البنا، الصلح القضائي، مجلة المحاسبة والاقتصاد، العدد 641، 2012، ص10. </w:t>
      </w:r>
    </w:p>
    <w:p w:rsidR="00B97321" w:rsidRPr="008A5EEE" w:rsidRDefault="00B97321" w:rsidP="008A5D2D">
      <w:pPr>
        <w:pStyle w:val="Notedebasdepage"/>
        <w:numPr>
          <w:ilvl w:val="0"/>
          <w:numId w:val="10"/>
        </w:numPr>
        <w:spacing w:line="360" w:lineRule="auto"/>
        <w:jc w:val="both"/>
        <w:rPr>
          <w:sz w:val="32"/>
          <w:szCs w:val="32"/>
          <w:rtl/>
        </w:rPr>
      </w:pPr>
      <w:r w:rsidRPr="008A5EEE">
        <w:rPr>
          <w:sz w:val="32"/>
          <w:szCs w:val="32"/>
          <w:rtl/>
        </w:rPr>
        <w:t xml:space="preserve">فيصل بن سعد العصيمي، الصلح في مجلس القضاء، مجلة العدل، السعودية، العدد 67، 1436هـ. </w:t>
      </w:r>
    </w:p>
    <w:p w:rsidR="00B97321" w:rsidRPr="008A5EEE" w:rsidRDefault="00B97321" w:rsidP="008A5D2D">
      <w:pPr>
        <w:pStyle w:val="Notedebasdepage"/>
        <w:numPr>
          <w:ilvl w:val="0"/>
          <w:numId w:val="10"/>
        </w:numPr>
        <w:spacing w:line="360" w:lineRule="auto"/>
        <w:jc w:val="both"/>
        <w:rPr>
          <w:sz w:val="32"/>
          <w:szCs w:val="32"/>
          <w:rtl/>
        </w:rPr>
      </w:pPr>
      <w:r w:rsidRPr="008A5EEE">
        <w:rPr>
          <w:sz w:val="32"/>
          <w:szCs w:val="32"/>
          <w:rtl/>
        </w:rPr>
        <w:t>ليلا جمعي، سلبيات وإيجابيات قانون الأسرة، مقال منشور بمجلة الحضارة الإسلامية، جامعة وهران، عدد 09، 2004.</w:t>
      </w:r>
    </w:p>
    <w:p w:rsidR="00B97321" w:rsidRPr="008A5EEE" w:rsidRDefault="00B97321" w:rsidP="008A5D2D">
      <w:pPr>
        <w:pStyle w:val="Notedebasdepage"/>
        <w:spacing w:line="360" w:lineRule="auto"/>
        <w:jc w:val="both"/>
        <w:rPr>
          <w:b/>
          <w:bCs/>
          <w:sz w:val="36"/>
          <w:szCs w:val="36"/>
          <w:rtl/>
        </w:rPr>
      </w:pPr>
      <w:r>
        <w:rPr>
          <w:rFonts w:hint="cs"/>
          <w:b/>
          <w:bCs/>
          <w:sz w:val="36"/>
          <w:szCs w:val="36"/>
          <w:rtl/>
        </w:rPr>
        <w:lastRenderedPageBreak/>
        <w:t xml:space="preserve">سابعا: </w:t>
      </w:r>
      <w:r>
        <w:rPr>
          <w:b/>
          <w:bCs/>
          <w:sz w:val="36"/>
          <w:szCs w:val="36"/>
          <w:rtl/>
        </w:rPr>
        <w:t>النصوص القانونية</w:t>
      </w:r>
    </w:p>
    <w:p w:rsidR="00B97321" w:rsidRPr="007A50FF" w:rsidRDefault="00B97321" w:rsidP="008A5D2D">
      <w:pPr>
        <w:pStyle w:val="Paragraphedeliste"/>
        <w:numPr>
          <w:ilvl w:val="0"/>
          <w:numId w:val="11"/>
        </w:numPr>
        <w:bidi/>
        <w:spacing w:line="360" w:lineRule="auto"/>
        <w:jc w:val="both"/>
        <w:rPr>
          <w:rFonts w:ascii="Simplified Arabic" w:hAnsi="Simplified Arabic" w:cs="Simplified Arabic"/>
        </w:rPr>
      </w:pPr>
      <w:r w:rsidRPr="007A50FF">
        <w:rPr>
          <w:rFonts w:ascii="Simplified Arabic" w:hAnsi="Simplified Arabic" w:cs="Simplified Arabic"/>
          <w:sz w:val="32"/>
          <w:szCs w:val="32"/>
          <w:rtl/>
        </w:rPr>
        <w:t xml:space="preserve">قانون رقم 84-11 المؤرخ في 09 رمضان 1404هـ الموافق لــ09 يونيو 1984 المتضمن </w:t>
      </w:r>
    </w:p>
    <w:p w:rsidR="00B97321" w:rsidRPr="008A5EEE" w:rsidRDefault="00B97321" w:rsidP="008A5D2D">
      <w:pPr>
        <w:pStyle w:val="Notedebasdepage"/>
        <w:numPr>
          <w:ilvl w:val="0"/>
          <w:numId w:val="11"/>
        </w:numPr>
        <w:spacing w:line="360" w:lineRule="auto"/>
        <w:jc w:val="both"/>
        <w:rPr>
          <w:sz w:val="32"/>
          <w:szCs w:val="32"/>
          <w:rtl/>
        </w:rPr>
      </w:pPr>
      <w:r w:rsidRPr="008A5EEE">
        <w:rPr>
          <w:sz w:val="32"/>
          <w:szCs w:val="32"/>
          <w:rtl/>
        </w:rPr>
        <w:t>القانون رقم 05/10 المؤرخ في 20 يونيو 2005 يعدل ويتمم الأمر رقم 75-58 المؤرخ في 20 رمضان عام 1350 الموافق ل26 سبتمبر سنة 1975 المتضمن القانون المدني المعدل والمتمم، الجريدة الرسمية العدد 44 المؤرخ في 26 يونيو 2005.</w:t>
      </w:r>
    </w:p>
    <w:p w:rsidR="00B97321" w:rsidRPr="008A5EEE" w:rsidRDefault="00B97321" w:rsidP="008A5D2D">
      <w:pPr>
        <w:pStyle w:val="Notedebasdepage"/>
        <w:numPr>
          <w:ilvl w:val="0"/>
          <w:numId w:val="11"/>
        </w:numPr>
        <w:spacing w:line="360" w:lineRule="auto"/>
        <w:jc w:val="both"/>
        <w:rPr>
          <w:sz w:val="32"/>
          <w:szCs w:val="32"/>
        </w:rPr>
      </w:pPr>
      <w:r w:rsidRPr="008A5EEE">
        <w:rPr>
          <w:sz w:val="32"/>
          <w:szCs w:val="32"/>
          <w:rtl/>
        </w:rPr>
        <w:t>الأمر رقم 75-58 المؤرخ في 20 رمضان عام 1395 الموافق ل 26 سبتمبر سنة 1975 المتضمن القانون المدني المعدل بالقانون رقم 05-10 المؤرخ في 20 يونيو 2005، الجريدة الرسمية العدد 44.</w:t>
      </w:r>
    </w:p>
    <w:p w:rsidR="00B97321" w:rsidRDefault="00B97321" w:rsidP="008A5D2D">
      <w:pPr>
        <w:pStyle w:val="Paragraphedeliste"/>
        <w:numPr>
          <w:ilvl w:val="0"/>
          <w:numId w:val="11"/>
        </w:numPr>
        <w:bidi/>
        <w:spacing w:line="360" w:lineRule="auto"/>
        <w:jc w:val="both"/>
        <w:rPr>
          <w:rFonts w:ascii="Simplified Arabic" w:hAnsi="Simplified Arabic" w:cs="Simplified Arabic"/>
        </w:rPr>
      </w:pPr>
      <w:r w:rsidRPr="007A50FF">
        <w:rPr>
          <w:rFonts w:ascii="Simplified Arabic" w:hAnsi="Simplified Arabic" w:cs="Simplified Arabic"/>
          <w:sz w:val="32"/>
          <w:szCs w:val="32"/>
          <w:rtl/>
        </w:rPr>
        <w:t xml:space="preserve">القانون رقم 08-09 المؤرخ في 18 صفر 1429هـ الموافق لــ25 فبراير 2008 يتضمن قانون الإجراءات المدنية والإدارية، الجريدة الرسمية العدد 21 في 17 ربيع الثاني عام 1924ه الموافق ل 23 </w:t>
      </w:r>
      <w:proofErr w:type="spellStart"/>
      <w:r w:rsidRPr="007A50FF">
        <w:rPr>
          <w:rFonts w:ascii="Simplified Arabic" w:hAnsi="Simplified Arabic" w:cs="Simplified Arabic"/>
          <w:sz w:val="32"/>
          <w:szCs w:val="32"/>
          <w:rtl/>
        </w:rPr>
        <w:t>أفريل</w:t>
      </w:r>
      <w:proofErr w:type="spellEnd"/>
      <w:r w:rsidRPr="007A50FF">
        <w:rPr>
          <w:rFonts w:ascii="Simplified Arabic" w:hAnsi="Simplified Arabic" w:cs="Simplified Arabic"/>
          <w:sz w:val="32"/>
          <w:szCs w:val="32"/>
          <w:rtl/>
        </w:rPr>
        <w:t xml:space="preserve"> سنة 2008.</w:t>
      </w:r>
    </w:p>
    <w:p w:rsidR="008A5D2D" w:rsidRDefault="008A5D2D" w:rsidP="008A5D2D">
      <w:pPr>
        <w:spacing w:line="360" w:lineRule="auto"/>
        <w:ind w:left="425"/>
        <w:jc w:val="both"/>
        <w:rPr>
          <w:rtl/>
        </w:rPr>
        <w:sectPr w:rsidR="008A5D2D" w:rsidSect="00975D09">
          <w:headerReference w:type="default" r:id="rId31"/>
          <w:footerReference w:type="default" r:id="rId32"/>
          <w:pgSz w:w="11906" w:h="16838"/>
          <w:pgMar w:top="1134" w:right="1701" w:bottom="1134" w:left="851" w:header="708" w:footer="708" w:gutter="0"/>
          <w:pgNumType w:start="80"/>
          <w:cols w:space="708"/>
          <w:docGrid w:linePitch="360"/>
        </w:sectPr>
      </w:pPr>
    </w:p>
    <w:p w:rsidR="008A5D2D" w:rsidRPr="008A5D2D" w:rsidRDefault="008A5D2D" w:rsidP="008A5D2D">
      <w:pPr>
        <w:spacing w:line="360" w:lineRule="auto"/>
        <w:ind w:left="425"/>
        <w:jc w:val="both"/>
      </w:pPr>
    </w:p>
    <w:p w:rsidR="008A5D2D" w:rsidRDefault="008A5D2D" w:rsidP="008A5D2D">
      <w:pPr>
        <w:tabs>
          <w:tab w:val="left" w:pos="3641"/>
        </w:tabs>
        <w:spacing w:before="240" w:after="0" w:line="240" w:lineRule="auto"/>
        <w:jc w:val="both"/>
        <w:rPr>
          <w:rFonts w:eastAsia="Calibri"/>
          <w:b/>
          <w:bCs/>
          <w:sz w:val="28"/>
          <w:szCs w:val="28"/>
          <w:rtl/>
        </w:rPr>
      </w:pPr>
      <w:r>
        <w:rPr>
          <w:rFonts w:eastAsia="Calibri"/>
          <w:b/>
          <w:bCs/>
          <w:sz w:val="28"/>
          <w:szCs w:val="28"/>
          <w:rtl/>
        </w:rPr>
        <w:tab/>
      </w:r>
    </w:p>
    <w:p w:rsidR="008A5D2D" w:rsidRPr="002804B8" w:rsidRDefault="008A5D2D" w:rsidP="008A5D2D">
      <w:pPr>
        <w:tabs>
          <w:tab w:val="left" w:pos="2168"/>
        </w:tabs>
        <w:spacing w:before="240" w:after="0" w:line="240" w:lineRule="auto"/>
        <w:jc w:val="both"/>
        <w:rPr>
          <w:rFonts w:eastAsia="Calibri"/>
          <w:b/>
          <w:bCs/>
          <w:sz w:val="28"/>
          <w:szCs w:val="28"/>
          <w:rtl/>
        </w:rPr>
      </w:pPr>
      <w:r>
        <w:rPr>
          <w:rFonts w:eastAsia="Calibri"/>
          <w:b/>
          <w:bCs/>
          <w:noProof/>
          <w:sz w:val="28"/>
          <w:szCs w:val="28"/>
          <w:lang w:eastAsia="fr-FR" w:bidi="ar-SA"/>
        </w:rPr>
        <w:drawing>
          <wp:anchor distT="0" distB="0" distL="114300" distR="114300" simplePos="0" relativeHeight="251688960" behindDoc="0" locked="0" layoutInCell="1" allowOverlap="1">
            <wp:simplePos x="0" y="0"/>
            <wp:positionH relativeFrom="column">
              <wp:posOffset>384810</wp:posOffset>
            </wp:positionH>
            <wp:positionV relativeFrom="paragraph">
              <wp:posOffset>230505</wp:posOffset>
            </wp:positionV>
            <wp:extent cx="4799965" cy="709930"/>
            <wp:effectExtent l="95250" t="0" r="286385" b="185420"/>
            <wp:wrapNone/>
            <wp:docPr id="67"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rot="10800000">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8A5D2D" w:rsidRPr="002804B8" w:rsidRDefault="008A5D2D" w:rsidP="008A5D2D">
      <w:pPr>
        <w:tabs>
          <w:tab w:val="left" w:pos="2168"/>
        </w:tabs>
        <w:spacing w:before="240" w:after="0" w:line="240" w:lineRule="auto"/>
        <w:jc w:val="both"/>
        <w:rPr>
          <w:rFonts w:eastAsia="Calibri"/>
          <w:b/>
          <w:bCs/>
          <w:sz w:val="28"/>
          <w:szCs w:val="28"/>
        </w:rPr>
      </w:pPr>
      <w:r w:rsidRPr="002804B8">
        <w:rPr>
          <w:rFonts w:eastAsia="Calibri"/>
          <w:b/>
          <w:bCs/>
          <w:sz w:val="28"/>
          <w:szCs w:val="28"/>
        </w:rPr>
        <w:tab/>
      </w:r>
    </w:p>
    <w:p w:rsidR="008A5D2D" w:rsidRPr="002804B8" w:rsidRDefault="008A5D2D" w:rsidP="008A5D2D">
      <w:pPr>
        <w:tabs>
          <w:tab w:val="left" w:pos="2168"/>
        </w:tabs>
        <w:spacing w:before="240" w:after="0" w:line="240" w:lineRule="auto"/>
        <w:jc w:val="both"/>
        <w:rPr>
          <w:rFonts w:eastAsia="Calibri"/>
          <w:b/>
          <w:bCs/>
          <w:sz w:val="28"/>
          <w:szCs w:val="28"/>
          <w:rtl/>
        </w:rPr>
      </w:pPr>
    </w:p>
    <w:p w:rsidR="008A5D2D" w:rsidRPr="002804B8" w:rsidRDefault="00BB7C56" w:rsidP="008A5D2D">
      <w:pPr>
        <w:tabs>
          <w:tab w:val="left" w:pos="2168"/>
        </w:tabs>
        <w:spacing w:before="240" w:after="0" w:line="240" w:lineRule="auto"/>
        <w:jc w:val="both"/>
        <w:rPr>
          <w:rFonts w:eastAsia="Calibri"/>
          <w:b/>
          <w:bCs/>
          <w:sz w:val="28"/>
          <w:szCs w:val="28"/>
          <w:rtl/>
        </w:rPr>
      </w:pPr>
      <w:r>
        <w:rPr>
          <w:rFonts w:asciiTheme="minorHAnsi" w:hAnsiTheme="minorHAnsi" w:cstheme="minorBidi"/>
          <w:noProof/>
          <w:sz w:val="22"/>
          <w:szCs w:val="22"/>
          <w:rtl/>
          <w:lang w:val="en-US" w:bidi="ar-SA"/>
        </w:rPr>
        <w:pict>
          <v:roundrect id="مستطيل مستدير الزوايا 69" o:spid="_x0000_s1035" style="position:absolute;left:0;text-align:left;margin-left:18.9pt;margin-top:5.3pt;width:410.25pt;height:189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" fillcolor="white [3201]" strokecolor="black [3200]" strokeweight="5pt">
            <v:stroke linestyle="thickThin"/>
            <v:shadow color="#868686"/>
            <v:textbox>
              <w:txbxContent>
                <w:p w:rsidR="0012210E" w:rsidRPr="00065F3C" w:rsidRDefault="0012210E" w:rsidP="008A5D2D">
                  <w:pPr>
                    <w:spacing w:after="0" w:line="240" w:lineRule="auto"/>
                    <w:jc w:val="center"/>
                    <w:rPr>
                      <w:sz w:val="144"/>
                      <w:szCs w:val="144"/>
                      <w:rtl/>
                    </w:rPr>
                  </w:pPr>
                  <w:r>
                    <w:rPr>
                      <w:rFonts w:hint="cs"/>
                      <w:sz w:val="144"/>
                      <w:szCs w:val="144"/>
                      <w:rtl/>
                    </w:rPr>
                    <w:t>الفهرس</w:t>
                  </w:r>
                </w:p>
              </w:txbxContent>
            </v:textbox>
          </v:roundrect>
        </w:pict>
      </w:r>
    </w:p>
    <w:p w:rsidR="008A5D2D" w:rsidRPr="002804B8" w:rsidRDefault="008A5D2D" w:rsidP="008A5D2D">
      <w:pPr>
        <w:tabs>
          <w:tab w:val="left" w:pos="2168"/>
        </w:tabs>
        <w:spacing w:before="240" w:after="0" w:line="240" w:lineRule="auto"/>
        <w:jc w:val="both"/>
        <w:rPr>
          <w:rFonts w:eastAsia="Calibri"/>
          <w:b/>
          <w:bCs/>
          <w:sz w:val="28"/>
          <w:szCs w:val="28"/>
          <w:rtl/>
        </w:rPr>
      </w:pPr>
    </w:p>
    <w:p w:rsidR="008A5D2D" w:rsidRPr="002804B8" w:rsidRDefault="008A5D2D" w:rsidP="008A5D2D">
      <w:pPr>
        <w:tabs>
          <w:tab w:val="left" w:pos="1841"/>
          <w:tab w:val="left" w:pos="2168"/>
        </w:tabs>
        <w:spacing w:before="240" w:after="0" w:line="240" w:lineRule="auto"/>
        <w:jc w:val="both"/>
        <w:rPr>
          <w:rFonts w:eastAsia="Calibri"/>
          <w:b/>
          <w:bCs/>
          <w:sz w:val="28"/>
          <w:szCs w:val="28"/>
          <w:rtl/>
        </w:rPr>
      </w:pPr>
    </w:p>
    <w:p w:rsidR="008A5D2D" w:rsidRPr="002804B8" w:rsidRDefault="008A5D2D" w:rsidP="008A5D2D">
      <w:pPr>
        <w:tabs>
          <w:tab w:val="left" w:pos="2168"/>
        </w:tabs>
        <w:spacing w:before="240" w:after="0" w:line="240" w:lineRule="auto"/>
        <w:jc w:val="both"/>
        <w:rPr>
          <w:rFonts w:eastAsia="Calibri"/>
          <w:b/>
          <w:bCs/>
          <w:sz w:val="28"/>
          <w:szCs w:val="28"/>
          <w:rtl/>
        </w:rPr>
      </w:pPr>
    </w:p>
    <w:p w:rsidR="008A5D2D" w:rsidRPr="002804B8" w:rsidRDefault="008A5D2D" w:rsidP="008A5D2D">
      <w:pPr>
        <w:tabs>
          <w:tab w:val="left" w:pos="2168"/>
        </w:tabs>
        <w:spacing w:before="240" w:after="0" w:line="240" w:lineRule="auto"/>
        <w:jc w:val="both"/>
        <w:rPr>
          <w:rFonts w:eastAsia="Calibri"/>
          <w:b/>
          <w:bCs/>
          <w:sz w:val="28"/>
          <w:szCs w:val="28"/>
          <w:rtl/>
        </w:rPr>
      </w:pPr>
    </w:p>
    <w:p w:rsidR="008A5D2D" w:rsidRPr="002804B8" w:rsidRDefault="008A5D2D" w:rsidP="008A5D2D">
      <w:pPr>
        <w:tabs>
          <w:tab w:val="left" w:pos="2168"/>
        </w:tabs>
        <w:spacing w:before="240" w:after="0" w:line="240" w:lineRule="auto"/>
        <w:jc w:val="both"/>
        <w:rPr>
          <w:rFonts w:eastAsia="Calibri"/>
          <w:b/>
          <w:bCs/>
          <w:sz w:val="28"/>
          <w:szCs w:val="28"/>
          <w:rtl/>
        </w:rPr>
      </w:pPr>
    </w:p>
    <w:p w:rsidR="008A5D2D" w:rsidRPr="002804B8" w:rsidRDefault="008A5D2D" w:rsidP="008A5D2D">
      <w:pPr>
        <w:spacing w:after="0" w:line="240" w:lineRule="auto"/>
        <w:jc w:val="both"/>
        <w:rPr>
          <w:b/>
          <w:bCs/>
          <w:rtl/>
        </w:rPr>
      </w:pPr>
      <w:r>
        <w:rPr>
          <w:rFonts w:eastAsia="Calibri"/>
          <w:b/>
          <w:bCs/>
          <w:noProof/>
          <w:sz w:val="28"/>
          <w:szCs w:val="28"/>
          <w:lang w:eastAsia="fr-FR" w:bidi="ar-SA"/>
        </w:rPr>
        <w:drawing>
          <wp:anchor distT="0" distB="0" distL="114300" distR="114300" simplePos="0" relativeHeight="251689984" behindDoc="0" locked="0" layoutInCell="1" allowOverlap="1">
            <wp:simplePos x="0" y="0"/>
            <wp:positionH relativeFrom="column">
              <wp:posOffset>422910</wp:posOffset>
            </wp:positionH>
            <wp:positionV relativeFrom="paragraph">
              <wp:posOffset>303530</wp:posOffset>
            </wp:positionV>
            <wp:extent cx="4799965" cy="709930"/>
            <wp:effectExtent l="114300" t="19050" r="267335" b="147320"/>
            <wp:wrapNone/>
            <wp:docPr id="68"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12" cstate="print">
                      <a:lum contrast="40000"/>
                    </a:blip>
                    <a:srcRect b="11533"/>
                    <a:stretch>
                      <a:fillRect/>
                    </a:stretch>
                  </pic:blipFill>
                  <pic:spPr bwMode="auto">
                    <a:xfrm>
                      <a:off x="0" y="0"/>
                      <a:ext cx="4799965" cy="709930"/>
                    </a:xfrm>
                    <a:prstGeom prst="rect">
                      <a:avLst/>
                    </a:prstGeom>
                    <a:ln>
                      <a:noFill/>
                    </a:ln>
                    <a:effectLst>
                      <a:outerShdw blurRad="292100" dist="139700" dir="2700000" algn="tl" rotWithShape="0">
                        <a:srgbClr val="333333">
                          <a:alpha val="65000"/>
                        </a:srgbClr>
                      </a:outerShdw>
                    </a:effectLst>
                  </pic:spPr>
                </pic:pic>
              </a:graphicData>
            </a:graphic>
          </wp:anchor>
        </w:drawing>
      </w:r>
    </w:p>
    <w:p w:rsidR="008A5D2D" w:rsidRPr="002804B8" w:rsidRDefault="008A5D2D" w:rsidP="008A5D2D">
      <w:pPr>
        <w:spacing w:after="0" w:line="240" w:lineRule="auto"/>
        <w:jc w:val="both"/>
        <w:rPr>
          <w:b/>
          <w:bCs/>
          <w:rtl/>
        </w:rPr>
      </w:pPr>
    </w:p>
    <w:p w:rsidR="008A5D2D" w:rsidRPr="002804B8" w:rsidRDefault="008A5D2D" w:rsidP="008A5D2D">
      <w:pPr>
        <w:spacing w:after="0" w:line="240" w:lineRule="auto"/>
        <w:jc w:val="both"/>
        <w:rPr>
          <w:b/>
          <w:bCs/>
          <w:rtl/>
        </w:rPr>
      </w:pPr>
    </w:p>
    <w:p w:rsidR="008A5D2D" w:rsidRDefault="008A5D2D" w:rsidP="008A5D2D">
      <w:pPr>
        <w:spacing w:after="0" w:line="240" w:lineRule="auto"/>
        <w:jc w:val="both"/>
        <w:rPr>
          <w:b/>
          <w:bCs/>
          <w:rtl/>
        </w:rPr>
      </w:pPr>
    </w:p>
    <w:p w:rsidR="008A5D2D" w:rsidRDefault="008A5D2D" w:rsidP="008A5D2D">
      <w:pPr>
        <w:spacing w:after="0" w:line="240" w:lineRule="auto"/>
        <w:jc w:val="both"/>
        <w:rPr>
          <w:b/>
          <w:bCs/>
          <w:rtl/>
        </w:rPr>
      </w:pPr>
    </w:p>
    <w:p w:rsidR="008A5D2D" w:rsidRPr="002804B8" w:rsidRDefault="008A5D2D" w:rsidP="008A5D2D">
      <w:pPr>
        <w:spacing w:after="0" w:line="240" w:lineRule="auto"/>
        <w:jc w:val="both"/>
        <w:rPr>
          <w:b/>
          <w:bCs/>
          <w:rtl/>
        </w:rPr>
      </w:pPr>
    </w:p>
    <w:p w:rsidR="00B97321" w:rsidRDefault="00B97321" w:rsidP="008A5D2D">
      <w:pPr>
        <w:spacing w:line="360" w:lineRule="auto"/>
        <w:ind w:firstLine="360"/>
        <w:jc w:val="both"/>
        <w:rPr>
          <w:sz w:val="40"/>
          <w:szCs w:val="40"/>
          <w:rtl/>
        </w:rPr>
      </w:pPr>
    </w:p>
    <w:p w:rsidR="00546E2A" w:rsidRDefault="00546E2A" w:rsidP="008A5D2D">
      <w:pPr>
        <w:spacing w:line="360" w:lineRule="auto"/>
        <w:ind w:firstLine="360"/>
        <w:jc w:val="both"/>
        <w:rPr>
          <w:sz w:val="40"/>
          <w:szCs w:val="40"/>
          <w:rtl/>
        </w:rPr>
        <w:sectPr w:rsidR="00546E2A" w:rsidSect="00975D09">
          <w:headerReference w:type="default" r:id="rId33"/>
          <w:footerReference w:type="default" r:id="rId34"/>
          <w:pgSz w:w="11906" w:h="16838"/>
          <w:pgMar w:top="1134" w:right="1701" w:bottom="1134" w:left="851" w:header="708" w:footer="708" w:gutter="0"/>
          <w:pgNumType w:start="80"/>
          <w:cols w:space="708"/>
          <w:docGrid w:linePitch="360"/>
        </w:sectPr>
      </w:pPr>
    </w:p>
    <w:sdt>
      <w:sdtPr>
        <w:rPr>
          <w:rFonts w:ascii="Simplified Arabic" w:eastAsiaTheme="minorHAnsi" w:hAnsi="Simplified Arabic" w:cs="Simplified Arabic"/>
          <w:color w:val="auto"/>
          <w:lang w:val="ar-SA" w:bidi="ar-DZ"/>
        </w:rPr>
        <w:id w:val="-773164577"/>
        <w:docPartObj>
          <w:docPartGallery w:val="Table of Contents"/>
          <w:docPartUnique/>
        </w:docPartObj>
      </w:sdtPr>
      <w:sdtEndPr>
        <w:rPr>
          <w:lang w:val="fr-FR"/>
        </w:rPr>
      </w:sdtEndPr>
      <w:sdtContent>
        <w:p w:rsidR="000F23EA" w:rsidRPr="005E045F" w:rsidRDefault="000F23EA" w:rsidP="005E045F">
          <w:pPr>
            <w:pStyle w:val="En-ttedetabledesmatires"/>
            <w:spacing w:before="0" w:line="240" w:lineRule="auto"/>
            <w:rPr>
              <w:sz w:val="30"/>
              <w:szCs w:val="30"/>
              <w:lang w:bidi="ar-DZ"/>
            </w:rPr>
          </w:pPr>
        </w:p>
        <w:p w:rsidR="000F23EA" w:rsidRPr="005E045F" w:rsidRDefault="00253BD7" w:rsidP="005E045F">
          <w:pPr>
            <w:pStyle w:val="TM1"/>
            <w:spacing w:line="240" w:lineRule="auto"/>
            <w:rPr>
              <w:rFonts w:asciiTheme="minorHAnsi" w:eastAsiaTheme="minorEastAsia" w:hAnsiTheme="minorHAnsi" w:cstheme="minorBidi"/>
              <w:noProof/>
              <w:sz w:val="30"/>
              <w:szCs w:val="30"/>
              <w:lang w:val="en-US" w:bidi="ar-SA"/>
            </w:rPr>
          </w:pPr>
          <w:r w:rsidRPr="005E045F">
            <w:rPr>
              <w:sz w:val="30"/>
              <w:szCs w:val="30"/>
            </w:rPr>
            <w:fldChar w:fldCharType="begin"/>
          </w:r>
          <w:r w:rsidR="000F23EA" w:rsidRPr="005E045F">
            <w:rPr>
              <w:sz w:val="30"/>
              <w:szCs w:val="30"/>
            </w:rPr>
            <w:instrText xml:space="preserve"> TOC \o "1-3" \h \z \u </w:instrText>
          </w:r>
          <w:r w:rsidRPr="005E045F">
            <w:rPr>
              <w:sz w:val="30"/>
              <w:szCs w:val="30"/>
            </w:rPr>
            <w:fldChar w:fldCharType="separate"/>
          </w:r>
          <w:hyperlink r:id="rId35" w:anchor="_Toc461013570" w:history="1">
            <w:r w:rsidR="000F23EA" w:rsidRPr="005E045F">
              <w:rPr>
                <w:rStyle w:val="Lienhypertexte"/>
                <w:rFonts w:hint="eastAsia"/>
                <w:b/>
                <w:bCs/>
                <w:noProof/>
                <w:sz w:val="30"/>
                <w:szCs w:val="30"/>
                <w:rtl/>
              </w:rPr>
              <w:t>شكروتقدير</w:t>
            </w:r>
            <w:r w:rsidR="000F23EA" w:rsidRPr="005E045F">
              <w:rPr>
                <w:noProof/>
                <w:webHidden/>
                <w:sz w:val="30"/>
                <w:szCs w:val="30"/>
              </w:rPr>
              <w:tab/>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36" w:anchor="_Toc461013571" w:history="1">
            <w:r w:rsidR="000F23EA" w:rsidRPr="005E045F">
              <w:rPr>
                <w:rStyle w:val="Lienhypertexte"/>
                <w:rFonts w:hint="eastAsia"/>
                <w:b/>
                <w:bCs/>
                <w:noProof/>
                <w:sz w:val="30"/>
                <w:szCs w:val="30"/>
                <w:rtl/>
              </w:rPr>
              <w:t>الاهداء</w:t>
            </w:r>
            <w:r w:rsidR="000F23EA" w:rsidRPr="005E045F">
              <w:rPr>
                <w:noProof/>
                <w:webHidden/>
                <w:sz w:val="30"/>
                <w:szCs w:val="30"/>
              </w:rPr>
              <w:tab/>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37" w:anchor="_Toc461013572" w:history="1">
            <w:r w:rsidR="000F23EA" w:rsidRPr="005E045F">
              <w:rPr>
                <w:rStyle w:val="Lienhypertexte"/>
                <w:rFonts w:hint="eastAsia"/>
                <w:noProof/>
                <w:sz w:val="30"/>
                <w:szCs w:val="30"/>
                <w:rtl/>
              </w:rPr>
              <w:t>مقدمة</w:t>
            </w:r>
            <w:r w:rsidR="000F23EA" w:rsidRPr="005E045F">
              <w:rPr>
                <w:noProof/>
                <w:webHidden/>
                <w:sz w:val="30"/>
                <w:szCs w:val="30"/>
              </w:rPr>
              <w:tab/>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38" w:anchor="_Toc461013573" w:history="1">
            <w:r w:rsidR="000F23EA" w:rsidRPr="005E045F">
              <w:rPr>
                <w:rStyle w:val="Lienhypertexte"/>
                <w:rFonts w:eastAsiaTheme="majorEastAsia" w:hint="eastAsia"/>
                <w:noProof/>
                <w:sz w:val="30"/>
                <w:szCs w:val="30"/>
                <w:rtl/>
              </w:rPr>
              <w:t>الفصل</w:t>
            </w:r>
            <w:r w:rsidR="00784746">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الأول</w:t>
            </w:r>
            <w:r w:rsidR="000F23EA" w:rsidRPr="005E045F">
              <w:rPr>
                <w:rStyle w:val="Lienhypertexte"/>
                <w:rFonts w:eastAsiaTheme="majorEastAsia"/>
                <w:noProof/>
                <w:sz w:val="30"/>
                <w:szCs w:val="30"/>
                <w:rtl/>
              </w:rPr>
              <w:t>:</w:t>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39" w:anchor="_Toc461013574" w:history="1">
            <w:r w:rsidR="000F23EA" w:rsidRPr="005E045F">
              <w:rPr>
                <w:rStyle w:val="Lienhypertexte"/>
                <w:rFonts w:eastAsiaTheme="majorEastAsia" w:hint="eastAsia"/>
                <w:noProof/>
                <w:sz w:val="30"/>
                <w:szCs w:val="30"/>
                <w:rtl/>
              </w:rPr>
              <w:t>قواعدعامة</w:t>
            </w:r>
            <w:r w:rsidR="00643130">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لنظام</w:t>
            </w:r>
            <w:r w:rsidR="00643130">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الصلح</w:t>
            </w:r>
            <w:r w:rsidR="000F23EA" w:rsidRPr="005E045F">
              <w:rPr>
                <w:noProof/>
                <w:webHidden/>
                <w:sz w:val="30"/>
                <w:szCs w:val="30"/>
                <w:highlight w:val="lightGray"/>
              </w:rPr>
              <w:tab/>
            </w:r>
            <w:r w:rsidR="00253BD7" w:rsidRPr="005E045F">
              <w:rPr>
                <w:rStyle w:val="Lienhypertexte"/>
                <w:noProof/>
                <w:sz w:val="30"/>
                <w:szCs w:val="30"/>
                <w:rtl/>
              </w:rPr>
              <w:fldChar w:fldCharType="begin"/>
            </w:r>
            <w:r w:rsidR="000F23EA" w:rsidRPr="005E045F">
              <w:rPr>
                <w:noProof/>
                <w:webHidden/>
                <w:sz w:val="30"/>
                <w:szCs w:val="30"/>
                <w:highlight w:val="lightGray"/>
              </w:rPr>
              <w:instrText xml:space="preserve"> PAGEREF _Toc461013574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highlight w:val="lightGray"/>
                <w:rtl/>
              </w:rPr>
              <w:t>5</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575" w:history="1">
            <w:r w:rsidR="000F23EA" w:rsidRPr="005E045F">
              <w:rPr>
                <w:rStyle w:val="Lienhypertexte"/>
                <w:rFonts w:hint="eastAsia"/>
                <w:b/>
                <w:bCs/>
                <w:noProof/>
                <w:sz w:val="30"/>
                <w:szCs w:val="30"/>
                <w:rtl/>
              </w:rPr>
              <w:t>المبحث</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ماهية</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_Toc461013575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76" w:history="1">
            <w:r w:rsidR="000F23EA" w:rsidRPr="005E045F">
              <w:rPr>
                <w:rStyle w:val="Lienhypertexte"/>
                <w:rFonts w:hint="eastAsia"/>
                <w:b/>
                <w:bCs/>
                <w:noProof/>
                <w:sz w:val="30"/>
                <w:szCs w:val="30"/>
                <w:rtl/>
              </w:rPr>
              <w:t>المطلب</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تعريف</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_Toc461013576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77"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5E045F" w:rsidRPr="005E045F">
              <w:rPr>
                <w:rStyle w:val="Lienhypertexte"/>
                <w:rFonts w:hint="eastAsia"/>
                <w:noProof/>
                <w:sz w:val="30"/>
                <w:szCs w:val="30"/>
                <w:rtl/>
              </w:rPr>
              <w:t>تعريف</w:t>
            </w:r>
            <w:r w:rsidR="00643130">
              <w:rPr>
                <w:rStyle w:val="Lienhypertexte"/>
                <w:rFonts w:hint="cs"/>
                <w:noProof/>
                <w:sz w:val="30"/>
                <w:szCs w:val="30"/>
                <w:rtl/>
              </w:rPr>
              <w:t xml:space="preserve"> </w:t>
            </w:r>
            <w:r w:rsidR="005E045F" w:rsidRPr="005E045F">
              <w:rPr>
                <w:rStyle w:val="Lienhypertexte"/>
                <w:rFonts w:hint="eastAsia"/>
                <w:noProof/>
                <w:sz w:val="30"/>
                <w:szCs w:val="30"/>
                <w:rtl/>
              </w:rPr>
              <w:t xml:space="preserve">الصلح </w:t>
            </w:r>
            <w:r w:rsidR="000F23EA" w:rsidRPr="005E045F">
              <w:rPr>
                <w:rStyle w:val="Lienhypertexte"/>
                <w:rFonts w:hint="eastAsia"/>
                <w:noProof/>
                <w:sz w:val="30"/>
                <w:szCs w:val="30"/>
                <w:rtl/>
              </w:rPr>
              <w:t>لغة</w:t>
            </w:r>
            <w:r w:rsidR="000F23EA" w:rsidRPr="005E045F">
              <w:rPr>
                <w:rStyle w:val="Lienhypertexte"/>
                <w:noProof/>
                <w:sz w:val="30"/>
                <w:szCs w:val="30"/>
                <w:rtl/>
              </w:rPr>
              <w:t>:</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_Toc461013577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78"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5E045F" w:rsidRPr="005E045F">
              <w:rPr>
                <w:rStyle w:val="Lienhypertexte"/>
                <w:rFonts w:hint="eastAsia"/>
                <w:noProof/>
                <w:sz w:val="30"/>
                <w:szCs w:val="30"/>
                <w:rtl/>
              </w:rPr>
              <w:t>تعريف</w:t>
            </w:r>
            <w:r w:rsidR="00643130">
              <w:rPr>
                <w:rStyle w:val="Lienhypertexte"/>
                <w:rFonts w:hint="cs"/>
                <w:noProof/>
                <w:sz w:val="30"/>
                <w:szCs w:val="30"/>
                <w:rtl/>
              </w:rPr>
              <w:t xml:space="preserve"> </w:t>
            </w:r>
            <w:r w:rsidR="005E045F" w:rsidRPr="005E045F">
              <w:rPr>
                <w:rStyle w:val="Lienhypertexte"/>
                <w:rFonts w:hint="eastAsia"/>
                <w:noProof/>
                <w:sz w:val="30"/>
                <w:szCs w:val="30"/>
                <w:rtl/>
              </w:rPr>
              <w:t xml:space="preserve">الصلح </w:t>
            </w:r>
            <w:r w:rsidR="000F23EA" w:rsidRPr="005E045F">
              <w:rPr>
                <w:rStyle w:val="Lienhypertexte"/>
                <w:rFonts w:hint="eastAsia"/>
                <w:noProof/>
                <w:sz w:val="30"/>
                <w:szCs w:val="30"/>
                <w:rtl/>
              </w:rPr>
              <w:t>شرعاً</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_Toc461013578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79"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5E045F" w:rsidRPr="005E045F">
              <w:rPr>
                <w:rStyle w:val="Lienhypertexte"/>
                <w:rFonts w:hint="eastAsia"/>
                <w:noProof/>
                <w:sz w:val="30"/>
                <w:szCs w:val="30"/>
                <w:rtl/>
              </w:rPr>
              <w:t>تعريف</w:t>
            </w:r>
            <w:r w:rsidR="00643130">
              <w:rPr>
                <w:rStyle w:val="Lienhypertexte"/>
                <w:rFonts w:hint="cs"/>
                <w:noProof/>
                <w:sz w:val="30"/>
                <w:szCs w:val="30"/>
                <w:rtl/>
              </w:rPr>
              <w:t xml:space="preserve"> </w:t>
            </w:r>
            <w:r w:rsidR="005E045F" w:rsidRPr="005E045F">
              <w:rPr>
                <w:rStyle w:val="Lienhypertexte"/>
                <w:rFonts w:hint="eastAsia"/>
                <w:noProof/>
                <w:sz w:val="30"/>
                <w:szCs w:val="30"/>
                <w:rtl/>
              </w:rPr>
              <w:t xml:space="preserve">الصلح </w:t>
            </w:r>
            <w:r w:rsidR="000F23EA" w:rsidRPr="005E045F">
              <w:rPr>
                <w:rStyle w:val="Lienhypertexte"/>
                <w:rFonts w:hint="eastAsia"/>
                <w:noProof/>
                <w:sz w:val="30"/>
                <w:szCs w:val="30"/>
                <w:rtl/>
              </w:rPr>
              <w:t>قانوناً</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_Toc461013579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8</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0" w:history="1">
            <w:r w:rsidR="000F23EA" w:rsidRPr="005E045F">
              <w:rPr>
                <w:rStyle w:val="Lienhypertexte"/>
                <w:rFonts w:hint="eastAsia"/>
                <w:b/>
                <w:bCs/>
                <w:noProof/>
                <w:sz w:val="30"/>
                <w:szCs w:val="30"/>
                <w:rtl/>
              </w:rPr>
              <w:t>المطلب</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مصدر</w:t>
            </w:r>
            <w:r w:rsidR="00643130">
              <w:rPr>
                <w:rStyle w:val="Lienhypertexte"/>
                <w:rFonts w:hint="cs"/>
                <w:noProof/>
                <w:sz w:val="30"/>
                <w:szCs w:val="30"/>
                <w:rtl/>
              </w:rPr>
              <w:t xml:space="preserve"> </w:t>
            </w:r>
            <w:r w:rsidR="000F23EA" w:rsidRPr="005E045F">
              <w:rPr>
                <w:rStyle w:val="Lienhypertexte"/>
                <w:rFonts w:hint="eastAsia"/>
                <w:noProof/>
                <w:sz w:val="30"/>
                <w:szCs w:val="30"/>
                <w:rtl/>
              </w:rPr>
              <w:t>مشروعية</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9</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1"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القرآن</w:t>
            </w:r>
            <w:r w:rsidR="00643130">
              <w:rPr>
                <w:rStyle w:val="Lienhypertexte"/>
                <w:rFonts w:hint="cs"/>
                <w:noProof/>
                <w:sz w:val="30"/>
                <w:szCs w:val="30"/>
                <w:rtl/>
              </w:rPr>
              <w:t xml:space="preserve"> </w:t>
            </w:r>
            <w:r w:rsidR="000F23EA" w:rsidRPr="005E045F">
              <w:rPr>
                <w:rStyle w:val="Lienhypertexte"/>
                <w:rFonts w:hint="eastAsia"/>
                <w:noProof/>
                <w:sz w:val="30"/>
                <w:szCs w:val="30"/>
                <w:rtl/>
              </w:rPr>
              <w:t>الكريم</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9</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2"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السنة</w:t>
            </w:r>
            <w:r w:rsidR="00643130">
              <w:rPr>
                <w:rStyle w:val="Lienhypertexte"/>
                <w:rFonts w:hint="cs"/>
                <w:noProof/>
                <w:sz w:val="30"/>
                <w:szCs w:val="30"/>
                <w:rtl/>
              </w:rPr>
              <w:t xml:space="preserve"> </w:t>
            </w:r>
            <w:r w:rsidR="000F23EA" w:rsidRPr="005E045F">
              <w:rPr>
                <w:rStyle w:val="Lienhypertexte"/>
                <w:rFonts w:hint="eastAsia"/>
                <w:noProof/>
                <w:sz w:val="30"/>
                <w:szCs w:val="30"/>
                <w:rtl/>
              </w:rPr>
              <w:t>النبوية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10</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3"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b/>
                <w:bCs/>
                <w:noProof/>
                <w:sz w:val="30"/>
                <w:szCs w:val="30"/>
                <w:rtl/>
              </w:rPr>
              <w:t>:</w:t>
            </w:r>
            <w:r w:rsidR="00643130">
              <w:rPr>
                <w:rStyle w:val="Lienhypertexte"/>
                <w:rFonts w:hint="cs"/>
                <w:b/>
                <w:bCs/>
                <w:noProof/>
                <w:sz w:val="30"/>
                <w:szCs w:val="30"/>
                <w:rtl/>
              </w:rPr>
              <w:t xml:space="preserve"> </w:t>
            </w:r>
            <w:r w:rsidR="000F23EA" w:rsidRPr="005E045F">
              <w:rPr>
                <w:rStyle w:val="Lienhypertexte"/>
                <w:rFonts w:hint="eastAsia"/>
                <w:noProof/>
                <w:sz w:val="30"/>
                <w:szCs w:val="30"/>
                <w:rtl/>
              </w:rPr>
              <w:t>الإجماع</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11</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4" w:history="1">
            <w:r w:rsidR="000F23EA" w:rsidRPr="005E045F">
              <w:rPr>
                <w:rStyle w:val="Lienhypertexte"/>
                <w:rFonts w:hint="eastAsia"/>
                <w:b/>
                <w:bCs/>
                <w:noProof/>
                <w:sz w:val="30"/>
                <w:szCs w:val="30"/>
                <w:rtl/>
              </w:rPr>
              <w:t>المطلب</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شروط</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5"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وجود</w:t>
            </w:r>
            <w:r w:rsidR="00643130">
              <w:rPr>
                <w:rStyle w:val="Lienhypertexte"/>
                <w:rFonts w:hint="cs"/>
                <w:noProof/>
                <w:sz w:val="30"/>
                <w:szCs w:val="30"/>
                <w:rtl/>
              </w:rPr>
              <w:t xml:space="preserve"> </w:t>
            </w:r>
            <w:r w:rsidR="000F23EA" w:rsidRPr="005E045F">
              <w:rPr>
                <w:rStyle w:val="Lienhypertexte"/>
                <w:rFonts w:hint="eastAsia"/>
                <w:noProof/>
                <w:sz w:val="30"/>
                <w:szCs w:val="30"/>
                <w:rtl/>
              </w:rPr>
              <w:t>نزاع</w:t>
            </w:r>
            <w:r w:rsidR="00643130">
              <w:rPr>
                <w:rStyle w:val="Lienhypertexte"/>
                <w:rFonts w:hint="cs"/>
                <w:noProof/>
                <w:sz w:val="30"/>
                <w:szCs w:val="30"/>
                <w:rtl/>
              </w:rPr>
              <w:t xml:space="preserve"> </w:t>
            </w:r>
            <w:r w:rsidR="000F23EA" w:rsidRPr="005E045F">
              <w:rPr>
                <w:rStyle w:val="Lienhypertexte"/>
                <w:rFonts w:hint="eastAsia"/>
                <w:noProof/>
                <w:sz w:val="30"/>
                <w:szCs w:val="30"/>
                <w:rtl/>
              </w:rPr>
              <w:t>قائم</w:t>
            </w:r>
            <w:r w:rsidR="00643130">
              <w:rPr>
                <w:rStyle w:val="Lienhypertexte"/>
                <w:rFonts w:hint="cs"/>
                <w:noProof/>
                <w:sz w:val="30"/>
                <w:szCs w:val="30"/>
                <w:rtl/>
              </w:rPr>
              <w:t xml:space="preserve"> </w:t>
            </w:r>
            <w:r w:rsidR="000F23EA" w:rsidRPr="005E045F">
              <w:rPr>
                <w:rStyle w:val="Lienhypertexte"/>
                <w:rFonts w:hint="eastAsia"/>
                <w:noProof/>
                <w:sz w:val="30"/>
                <w:szCs w:val="30"/>
                <w:rtl/>
              </w:rPr>
              <w:t>أو</w:t>
            </w:r>
            <w:r w:rsidR="00643130">
              <w:rPr>
                <w:rStyle w:val="Lienhypertexte"/>
                <w:rFonts w:hint="cs"/>
                <w:noProof/>
                <w:sz w:val="30"/>
                <w:szCs w:val="30"/>
                <w:rtl/>
              </w:rPr>
              <w:t xml:space="preserve"> </w:t>
            </w:r>
            <w:r w:rsidR="000F23EA" w:rsidRPr="005E045F">
              <w:rPr>
                <w:rStyle w:val="Lienhypertexte"/>
                <w:rFonts w:hint="eastAsia"/>
                <w:noProof/>
                <w:sz w:val="30"/>
                <w:szCs w:val="30"/>
                <w:rtl/>
              </w:rPr>
              <w:t>محتمل</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6"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نية</w:t>
            </w:r>
            <w:r w:rsidR="00643130">
              <w:rPr>
                <w:rStyle w:val="Lienhypertexte"/>
                <w:rFonts w:hint="cs"/>
                <w:noProof/>
                <w:sz w:val="30"/>
                <w:szCs w:val="30"/>
                <w:rtl/>
              </w:rPr>
              <w:t xml:space="preserve"> </w:t>
            </w:r>
            <w:r w:rsidR="000F23EA" w:rsidRPr="005E045F">
              <w:rPr>
                <w:rStyle w:val="Lienhypertexte"/>
                <w:rFonts w:hint="eastAsia"/>
                <w:noProof/>
                <w:sz w:val="30"/>
                <w:szCs w:val="30"/>
                <w:rtl/>
              </w:rPr>
              <w:t>حسم</w:t>
            </w:r>
            <w:r w:rsidR="00643130">
              <w:rPr>
                <w:rStyle w:val="Lienhypertexte"/>
                <w:rFonts w:hint="cs"/>
                <w:noProof/>
                <w:sz w:val="30"/>
                <w:szCs w:val="30"/>
                <w:rtl/>
              </w:rPr>
              <w:t xml:space="preserve"> </w:t>
            </w:r>
            <w:r w:rsidR="000F23EA" w:rsidRPr="005E045F">
              <w:rPr>
                <w:rStyle w:val="Lienhypertexte"/>
                <w:rFonts w:hint="eastAsia"/>
                <w:noProof/>
                <w:sz w:val="30"/>
                <w:szCs w:val="30"/>
                <w:rtl/>
              </w:rPr>
              <w:t>النزاع</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7"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تنازل</w:t>
            </w:r>
            <w:r w:rsidR="00643130">
              <w:rPr>
                <w:rStyle w:val="Lienhypertexte"/>
                <w:rFonts w:hint="cs"/>
                <w:noProof/>
                <w:sz w:val="30"/>
                <w:szCs w:val="30"/>
                <w:rtl/>
              </w:rPr>
              <w:t xml:space="preserve"> </w:t>
            </w:r>
            <w:r w:rsidR="000F23EA" w:rsidRPr="005E045F">
              <w:rPr>
                <w:rStyle w:val="Lienhypertexte"/>
                <w:rFonts w:hint="eastAsia"/>
                <w:noProof/>
                <w:sz w:val="30"/>
                <w:szCs w:val="30"/>
                <w:rtl/>
              </w:rPr>
              <w:t>كل</w:t>
            </w:r>
            <w:r w:rsidR="00643130">
              <w:rPr>
                <w:rStyle w:val="Lienhypertexte"/>
                <w:rFonts w:hint="cs"/>
                <w:noProof/>
                <w:sz w:val="30"/>
                <w:szCs w:val="30"/>
                <w:rtl/>
              </w:rPr>
              <w:t xml:space="preserve"> </w:t>
            </w:r>
            <w:r w:rsidR="000F23EA" w:rsidRPr="005E045F">
              <w:rPr>
                <w:rStyle w:val="Lienhypertexte"/>
                <w:rFonts w:hint="eastAsia"/>
                <w:noProof/>
                <w:sz w:val="30"/>
                <w:szCs w:val="30"/>
                <w:rtl/>
              </w:rPr>
              <w:t>طرف</w:t>
            </w:r>
            <w:r w:rsidR="00643130">
              <w:rPr>
                <w:rStyle w:val="Lienhypertexte"/>
                <w:rFonts w:hint="cs"/>
                <w:noProof/>
                <w:sz w:val="30"/>
                <w:szCs w:val="30"/>
                <w:rtl/>
              </w:rPr>
              <w:t xml:space="preserve"> </w:t>
            </w:r>
            <w:r w:rsidR="000F23EA" w:rsidRPr="005E045F">
              <w:rPr>
                <w:rStyle w:val="Lienhypertexte"/>
                <w:rFonts w:hint="eastAsia"/>
                <w:noProof/>
                <w:sz w:val="30"/>
                <w:szCs w:val="30"/>
                <w:rtl/>
              </w:rPr>
              <w:t>عن</w:t>
            </w:r>
            <w:r w:rsidR="00643130">
              <w:rPr>
                <w:rStyle w:val="Lienhypertexte"/>
                <w:rFonts w:hint="cs"/>
                <w:noProof/>
                <w:sz w:val="30"/>
                <w:szCs w:val="30"/>
                <w:rtl/>
              </w:rPr>
              <w:t xml:space="preserve"> </w:t>
            </w:r>
            <w:r w:rsidR="000F23EA" w:rsidRPr="005E045F">
              <w:rPr>
                <w:rStyle w:val="Lienhypertexte"/>
                <w:rFonts w:hint="eastAsia"/>
                <w:noProof/>
                <w:sz w:val="30"/>
                <w:szCs w:val="30"/>
                <w:rtl/>
              </w:rPr>
              <w:t>جزء</w:t>
            </w:r>
            <w:r w:rsidR="00643130">
              <w:rPr>
                <w:rStyle w:val="Lienhypertexte"/>
                <w:rFonts w:hint="cs"/>
                <w:noProof/>
                <w:sz w:val="30"/>
                <w:szCs w:val="30"/>
                <w:rtl/>
              </w:rPr>
              <w:t xml:space="preserve"> </w:t>
            </w:r>
            <w:r w:rsidR="000F23EA" w:rsidRPr="005E045F">
              <w:rPr>
                <w:rStyle w:val="Lienhypertexte"/>
                <w:rFonts w:hint="eastAsia"/>
                <w:noProof/>
                <w:sz w:val="30"/>
                <w:szCs w:val="30"/>
                <w:rtl/>
              </w:rPr>
              <w:t>من</w:t>
            </w:r>
            <w:r w:rsidR="00643130">
              <w:rPr>
                <w:rStyle w:val="Lienhypertexte"/>
                <w:rFonts w:hint="cs"/>
                <w:noProof/>
                <w:sz w:val="30"/>
                <w:szCs w:val="30"/>
                <w:rtl/>
              </w:rPr>
              <w:t xml:space="preserve"> </w:t>
            </w:r>
            <w:r w:rsidR="000F23EA" w:rsidRPr="005E045F">
              <w:rPr>
                <w:rStyle w:val="Lienhypertexte"/>
                <w:rFonts w:hint="eastAsia"/>
                <w:noProof/>
                <w:sz w:val="30"/>
                <w:szCs w:val="30"/>
                <w:rtl/>
              </w:rPr>
              <w:t>حقه</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12</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8" w:history="1">
            <w:r w:rsidR="000F23EA" w:rsidRPr="005E045F">
              <w:rPr>
                <w:rStyle w:val="Lienhypertexte"/>
                <w:rFonts w:hint="eastAsia"/>
                <w:b/>
                <w:bCs/>
                <w:noProof/>
                <w:sz w:val="30"/>
                <w:szCs w:val="30"/>
                <w:rtl/>
              </w:rPr>
              <w:t>المطلب</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تمييز</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643130">
              <w:rPr>
                <w:rStyle w:val="Lienhypertexte"/>
                <w:rFonts w:hint="cs"/>
                <w:noProof/>
                <w:sz w:val="30"/>
                <w:szCs w:val="30"/>
                <w:rtl/>
              </w:rPr>
              <w:t xml:space="preserve"> </w:t>
            </w:r>
            <w:r w:rsidR="000F23EA" w:rsidRPr="005E045F">
              <w:rPr>
                <w:rStyle w:val="Lienhypertexte"/>
                <w:rFonts w:hint="eastAsia"/>
                <w:noProof/>
                <w:sz w:val="30"/>
                <w:szCs w:val="30"/>
                <w:rtl/>
              </w:rPr>
              <w:t>عما</w:t>
            </w:r>
            <w:r w:rsidR="00643130">
              <w:rPr>
                <w:rStyle w:val="Lienhypertexte"/>
                <w:rFonts w:hint="cs"/>
                <w:noProof/>
                <w:sz w:val="30"/>
                <w:szCs w:val="30"/>
                <w:rtl/>
              </w:rPr>
              <w:t xml:space="preserve"> </w:t>
            </w:r>
            <w:r w:rsidR="000F23EA" w:rsidRPr="005E045F">
              <w:rPr>
                <w:rStyle w:val="Lienhypertexte"/>
                <w:rFonts w:hint="eastAsia"/>
                <w:noProof/>
                <w:sz w:val="30"/>
                <w:szCs w:val="30"/>
                <w:rtl/>
              </w:rPr>
              <w:t>يشابهه</w:t>
            </w:r>
            <w:r w:rsidR="00643130">
              <w:rPr>
                <w:rStyle w:val="Lienhypertexte"/>
                <w:rFonts w:hint="cs"/>
                <w:noProof/>
                <w:sz w:val="30"/>
                <w:szCs w:val="30"/>
                <w:rtl/>
              </w:rPr>
              <w:t xml:space="preserve"> </w:t>
            </w:r>
            <w:r w:rsidR="000F23EA" w:rsidRPr="005E045F">
              <w:rPr>
                <w:rStyle w:val="Lienhypertexte"/>
                <w:rFonts w:hint="eastAsia"/>
                <w:noProof/>
                <w:sz w:val="30"/>
                <w:szCs w:val="30"/>
                <w:rtl/>
              </w:rPr>
              <w:t>من</w:t>
            </w:r>
            <w:r w:rsidR="00643130">
              <w:rPr>
                <w:rStyle w:val="Lienhypertexte"/>
                <w:rFonts w:hint="cs"/>
                <w:noProof/>
                <w:sz w:val="30"/>
                <w:szCs w:val="30"/>
                <w:rtl/>
              </w:rPr>
              <w:t xml:space="preserve"> </w:t>
            </w:r>
            <w:r w:rsidR="000F23EA" w:rsidRPr="005E045F">
              <w:rPr>
                <w:rStyle w:val="Lienhypertexte"/>
                <w:rFonts w:hint="eastAsia"/>
                <w:noProof/>
                <w:sz w:val="30"/>
                <w:szCs w:val="30"/>
                <w:rtl/>
              </w:rPr>
              <w:t>تصرفات</w:t>
            </w:r>
            <w:r w:rsidR="00643130">
              <w:rPr>
                <w:rStyle w:val="Lienhypertexte"/>
                <w:rFonts w:hint="cs"/>
                <w:noProof/>
                <w:sz w:val="30"/>
                <w:szCs w:val="30"/>
                <w:rtl/>
              </w:rPr>
              <w:t xml:space="preserve"> </w:t>
            </w:r>
            <w:r w:rsidR="000F23EA" w:rsidRPr="005E045F">
              <w:rPr>
                <w:rStyle w:val="Lienhypertexte"/>
                <w:rFonts w:hint="eastAsia"/>
                <w:noProof/>
                <w:sz w:val="30"/>
                <w:szCs w:val="30"/>
                <w:rtl/>
              </w:rPr>
              <w:t>قانونية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13</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89"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643130">
              <w:rPr>
                <w:rStyle w:val="Lienhypertexte"/>
                <w:rFonts w:hint="cs"/>
                <w:noProof/>
                <w:sz w:val="30"/>
                <w:szCs w:val="30"/>
                <w:rtl/>
              </w:rPr>
              <w:t xml:space="preserve"> </w:t>
            </w:r>
            <w:r w:rsidR="000F23EA" w:rsidRPr="005E045F">
              <w:rPr>
                <w:rStyle w:val="Lienhypertexte"/>
                <w:rFonts w:hint="eastAsia"/>
                <w:noProof/>
                <w:sz w:val="30"/>
                <w:szCs w:val="30"/>
                <w:rtl/>
              </w:rPr>
              <w:t>والتحكيم</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_Toc461013589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13</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0"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643130">
              <w:rPr>
                <w:rStyle w:val="Lienhypertexte"/>
                <w:rFonts w:hint="cs"/>
                <w:noProof/>
                <w:sz w:val="30"/>
                <w:szCs w:val="30"/>
                <w:rtl/>
              </w:rPr>
              <w:t xml:space="preserve"> </w:t>
            </w:r>
            <w:r w:rsidR="000F23EA" w:rsidRPr="005E045F">
              <w:rPr>
                <w:rStyle w:val="Lienhypertexte"/>
                <w:rFonts w:hint="eastAsia"/>
                <w:noProof/>
                <w:sz w:val="30"/>
                <w:szCs w:val="30"/>
                <w:rtl/>
              </w:rPr>
              <w:t>وترك</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الخصومة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1"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643130">
              <w:rPr>
                <w:rStyle w:val="Lienhypertexte"/>
                <w:rFonts w:hint="cs"/>
                <w:noProof/>
                <w:sz w:val="30"/>
                <w:szCs w:val="30"/>
                <w:rtl/>
              </w:rPr>
              <w:t xml:space="preserve"> </w:t>
            </w:r>
            <w:r w:rsidR="000F23EA" w:rsidRPr="005E045F">
              <w:rPr>
                <w:rStyle w:val="Lienhypertexte"/>
                <w:rFonts w:hint="eastAsia"/>
                <w:noProof/>
                <w:sz w:val="30"/>
                <w:szCs w:val="30"/>
                <w:rtl/>
              </w:rPr>
              <w:t>والوساطة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14</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592" w:history="1">
            <w:r w:rsidR="000F23EA" w:rsidRPr="005E045F">
              <w:rPr>
                <w:rStyle w:val="Lienhypertexte"/>
                <w:rFonts w:hint="eastAsia"/>
                <w:b/>
                <w:bCs/>
                <w:noProof/>
                <w:sz w:val="30"/>
                <w:szCs w:val="30"/>
                <w:rtl/>
              </w:rPr>
              <w:t>المبحث</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أركان</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15</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3" w:history="1">
            <w:r w:rsidR="000F23EA" w:rsidRPr="005E045F">
              <w:rPr>
                <w:rStyle w:val="Lienhypertexte"/>
                <w:rFonts w:hint="eastAsia"/>
                <w:b/>
                <w:bCs/>
                <w:noProof/>
                <w:sz w:val="30"/>
                <w:szCs w:val="30"/>
                <w:rtl/>
              </w:rPr>
              <w:t>المطلب</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التراضي</w:t>
            </w:r>
            <w:r w:rsidR="00643130">
              <w:rPr>
                <w:rStyle w:val="Lienhypertexte"/>
                <w:rFonts w:hint="cs"/>
                <w:noProof/>
                <w:sz w:val="30"/>
                <w:szCs w:val="30"/>
                <w:rtl/>
              </w:rPr>
              <w:t xml:space="preserve"> </w:t>
            </w:r>
            <w:r w:rsidR="000F23EA" w:rsidRPr="005E045F">
              <w:rPr>
                <w:rStyle w:val="Lienhypertexte"/>
                <w:rFonts w:hint="eastAsia"/>
                <w:noProof/>
                <w:sz w:val="30"/>
                <w:szCs w:val="30"/>
                <w:rtl/>
              </w:rPr>
              <w:t>في</w:t>
            </w:r>
            <w:r w:rsidR="00643130">
              <w:rPr>
                <w:rStyle w:val="Lienhypertexte"/>
                <w:rFonts w:hint="cs"/>
                <w:noProof/>
                <w:sz w:val="30"/>
                <w:szCs w:val="30"/>
                <w:rtl/>
              </w:rPr>
              <w:t xml:space="preserve"> </w:t>
            </w:r>
            <w:r w:rsidR="000F23EA" w:rsidRPr="005E045F">
              <w:rPr>
                <w:rStyle w:val="Lienhypertexte"/>
                <w:rFonts w:hint="eastAsia"/>
                <w:noProof/>
                <w:sz w:val="30"/>
                <w:szCs w:val="30"/>
                <w:rtl/>
              </w:rPr>
              <w:t>عقد</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15</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4"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التراضي</w:t>
            </w:r>
            <w:r w:rsidR="00643130">
              <w:rPr>
                <w:rStyle w:val="Lienhypertexte"/>
                <w:rFonts w:hint="cs"/>
                <w:noProof/>
                <w:sz w:val="30"/>
                <w:szCs w:val="30"/>
                <w:rtl/>
              </w:rPr>
              <w:t xml:space="preserve"> </w:t>
            </w:r>
            <w:r w:rsidR="000F23EA" w:rsidRPr="005E045F">
              <w:rPr>
                <w:rStyle w:val="Lienhypertexte"/>
                <w:rFonts w:hint="eastAsia"/>
                <w:noProof/>
                <w:sz w:val="30"/>
                <w:szCs w:val="30"/>
                <w:rtl/>
              </w:rPr>
              <w:t>في</w:t>
            </w:r>
            <w:r w:rsidR="00643130">
              <w:rPr>
                <w:rStyle w:val="Lienhypertexte"/>
                <w:rFonts w:hint="cs"/>
                <w:noProof/>
                <w:sz w:val="30"/>
                <w:szCs w:val="30"/>
                <w:rtl/>
              </w:rPr>
              <w:t xml:space="preserve"> </w:t>
            </w:r>
            <w:r w:rsidR="000F23EA" w:rsidRPr="005E045F">
              <w:rPr>
                <w:rStyle w:val="Lienhypertexte"/>
                <w:rFonts w:hint="eastAsia"/>
                <w:noProof/>
                <w:sz w:val="30"/>
                <w:szCs w:val="30"/>
                <w:rtl/>
              </w:rPr>
              <w:t>الفقه</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الإسلامي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15</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5" w:history="1">
            <w:r w:rsidR="000F23EA" w:rsidRPr="005E045F">
              <w:rPr>
                <w:rStyle w:val="Lienhypertexte"/>
                <w:rFonts w:hint="eastAsia"/>
                <w:b/>
                <w:bCs/>
                <w:noProof/>
                <w:sz w:val="30"/>
                <w:szCs w:val="30"/>
                <w:rtl/>
              </w:rPr>
              <w:t>الفرع</w:t>
            </w:r>
            <w:r w:rsidR="00643130">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b/>
                <w:bCs/>
                <w:noProof/>
                <w:sz w:val="30"/>
                <w:szCs w:val="30"/>
                <w:rtl/>
              </w:rPr>
              <w:t>:</w:t>
            </w:r>
            <w:r w:rsidR="000F23EA" w:rsidRPr="005E045F">
              <w:rPr>
                <w:rStyle w:val="Lienhypertexte"/>
                <w:rFonts w:hint="eastAsia"/>
                <w:noProof/>
                <w:sz w:val="30"/>
                <w:szCs w:val="30"/>
                <w:rtl/>
              </w:rPr>
              <w:t>التراضي</w:t>
            </w:r>
            <w:r w:rsidR="00643130">
              <w:rPr>
                <w:rStyle w:val="Lienhypertexte"/>
                <w:rFonts w:hint="cs"/>
                <w:noProof/>
                <w:sz w:val="30"/>
                <w:szCs w:val="30"/>
                <w:rtl/>
              </w:rPr>
              <w:t xml:space="preserve"> </w:t>
            </w:r>
            <w:r w:rsidR="000F23EA" w:rsidRPr="005E045F">
              <w:rPr>
                <w:rStyle w:val="Lienhypertexte"/>
                <w:rFonts w:hint="eastAsia"/>
                <w:noProof/>
                <w:sz w:val="30"/>
                <w:szCs w:val="30"/>
                <w:rtl/>
              </w:rPr>
              <w:t>في</w:t>
            </w:r>
            <w:r w:rsidR="00643130">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الجزائري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17</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6"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المحل</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643130">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7"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المحل</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الفقه</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الإسلامي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18</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8"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المحل</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الجزائري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19</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599"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b/>
                <w:bCs/>
                <w:noProof/>
                <w:sz w:val="30"/>
                <w:szCs w:val="30"/>
                <w:rtl/>
              </w:rPr>
              <w:t>:</w:t>
            </w:r>
            <w:r w:rsidR="000F23EA" w:rsidRPr="005E045F">
              <w:rPr>
                <w:rStyle w:val="Lienhypertexte"/>
                <w:rFonts w:hint="eastAsia"/>
                <w:noProof/>
                <w:sz w:val="30"/>
                <w:szCs w:val="30"/>
                <w:rtl/>
              </w:rPr>
              <w:t>السبب</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_Toc461013599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20</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0"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b/>
                <w:bCs/>
                <w:noProof/>
                <w:sz w:val="30"/>
                <w:szCs w:val="30"/>
                <w:rtl/>
              </w:rPr>
              <w:t>:</w:t>
            </w:r>
            <w:r w:rsidR="000F23EA" w:rsidRPr="005E045F">
              <w:rPr>
                <w:rStyle w:val="Lienhypertexte"/>
                <w:rFonts w:hint="eastAsia"/>
                <w:noProof/>
                <w:sz w:val="30"/>
                <w:szCs w:val="30"/>
                <w:rtl/>
              </w:rPr>
              <w:t>رفع</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النزاع</w:t>
            </w:r>
            <w:r w:rsidR="00DF3F5F">
              <w:rPr>
                <w:rStyle w:val="Lienhypertexte"/>
                <w:rFonts w:hint="cs"/>
                <w:noProof/>
                <w:sz w:val="30"/>
                <w:szCs w:val="30"/>
                <w:rtl/>
              </w:rPr>
              <w:t xml:space="preserve"> </w:t>
            </w:r>
            <w:r w:rsidR="000F23EA" w:rsidRPr="005E045F">
              <w:rPr>
                <w:rStyle w:val="Lienhypertexte"/>
                <w:rFonts w:hint="eastAsia"/>
                <w:noProof/>
                <w:sz w:val="30"/>
                <w:szCs w:val="30"/>
                <w:rtl/>
              </w:rPr>
              <w:t>كسبب</w:t>
            </w:r>
            <w:r w:rsidR="00DF3F5F">
              <w:rPr>
                <w:rStyle w:val="Lienhypertexte"/>
                <w:rFonts w:hint="cs"/>
                <w:noProof/>
                <w:sz w:val="30"/>
                <w:szCs w:val="30"/>
                <w:rtl/>
              </w:rPr>
              <w:t xml:space="preserve"> </w:t>
            </w:r>
            <w:r w:rsidR="000F23EA" w:rsidRPr="005E045F">
              <w:rPr>
                <w:rStyle w:val="Lienhypertexte"/>
                <w:rFonts w:hint="eastAsia"/>
                <w:noProof/>
                <w:sz w:val="30"/>
                <w:szCs w:val="30"/>
                <w:rtl/>
              </w:rPr>
              <w:t>لعقد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20</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1"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b/>
                <w:bCs/>
                <w:noProof/>
                <w:sz w:val="30"/>
                <w:szCs w:val="30"/>
                <w:rtl/>
              </w:rPr>
              <w:t xml:space="preserve">: </w:t>
            </w:r>
            <w:r w:rsidR="000F23EA" w:rsidRPr="005E045F">
              <w:rPr>
                <w:rStyle w:val="Lienhypertexte"/>
                <w:rFonts w:hint="eastAsia"/>
                <w:noProof/>
                <w:sz w:val="30"/>
                <w:szCs w:val="30"/>
                <w:rtl/>
              </w:rPr>
              <w:t>تنازل</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المصالح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عن</w:t>
            </w:r>
            <w:r w:rsidR="00DF3F5F">
              <w:rPr>
                <w:rStyle w:val="Lienhypertexte"/>
                <w:rFonts w:hint="cs"/>
                <w:noProof/>
                <w:sz w:val="30"/>
                <w:szCs w:val="30"/>
                <w:rtl/>
              </w:rPr>
              <w:t xml:space="preserve"> </w:t>
            </w:r>
            <w:r w:rsidR="000F23EA" w:rsidRPr="005E045F">
              <w:rPr>
                <w:rStyle w:val="Lienhypertexte"/>
                <w:rFonts w:hint="eastAsia"/>
                <w:noProof/>
                <w:sz w:val="30"/>
                <w:szCs w:val="30"/>
                <w:rtl/>
              </w:rPr>
              <w:t>جزء</w:t>
            </w:r>
            <w:r w:rsidR="00DF3F5F">
              <w:rPr>
                <w:rStyle w:val="Lienhypertexte"/>
                <w:rFonts w:hint="cs"/>
                <w:noProof/>
                <w:sz w:val="30"/>
                <w:szCs w:val="30"/>
                <w:rtl/>
              </w:rPr>
              <w:t xml:space="preserve"> </w:t>
            </w:r>
            <w:r w:rsidR="000F23EA" w:rsidRPr="005E045F">
              <w:rPr>
                <w:rStyle w:val="Lienhypertexte"/>
                <w:rFonts w:hint="eastAsia"/>
                <w:noProof/>
                <w:sz w:val="30"/>
                <w:szCs w:val="30"/>
                <w:rtl/>
              </w:rPr>
              <w:t>من</w:t>
            </w:r>
            <w:r w:rsidR="00DF3F5F">
              <w:rPr>
                <w:rStyle w:val="Lienhypertexte"/>
                <w:rFonts w:hint="cs"/>
                <w:noProof/>
                <w:sz w:val="30"/>
                <w:szCs w:val="30"/>
                <w:rtl/>
              </w:rPr>
              <w:t xml:space="preserve"> </w:t>
            </w:r>
            <w:r w:rsidR="000F23EA" w:rsidRPr="005E045F">
              <w:rPr>
                <w:rStyle w:val="Lienhypertexte"/>
                <w:rFonts w:hint="eastAsia"/>
                <w:noProof/>
                <w:sz w:val="30"/>
                <w:szCs w:val="30"/>
                <w:rtl/>
              </w:rPr>
              <w:t>حقوقه</w:t>
            </w:r>
            <w:r w:rsidR="00DF3F5F">
              <w:rPr>
                <w:rStyle w:val="Lienhypertexte"/>
                <w:rFonts w:hint="cs"/>
                <w:noProof/>
                <w:sz w:val="30"/>
                <w:szCs w:val="30"/>
                <w:rtl/>
              </w:rPr>
              <w:t xml:space="preserve"> </w:t>
            </w:r>
            <w:r w:rsidR="000F23EA" w:rsidRPr="005E045F">
              <w:rPr>
                <w:rStyle w:val="Lienhypertexte"/>
                <w:rFonts w:hint="eastAsia"/>
                <w:noProof/>
                <w:sz w:val="30"/>
                <w:szCs w:val="30"/>
                <w:rtl/>
              </w:rPr>
              <w:t>سبب</w:t>
            </w:r>
            <w:r w:rsidR="00DF3F5F">
              <w:rPr>
                <w:rStyle w:val="Lienhypertexte"/>
                <w:rFonts w:hint="cs"/>
                <w:noProof/>
                <w:sz w:val="30"/>
                <w:szCs w:val="30"/>
                <w:rtl/>
              </w:rPr>
              <w:t xml:space="preserve"> </w:t>
            </w:r>
            <w:r w:rsidR="000F23EA" w:rsidRPr="005E045F">
              <w:rPr>
                <w:rStyle w:val="Lienhypertexte"/>
                <w:rFonts w:hint="eastAsia"/>
                <w:noProof/>
                <w:sz w:val="30"/>
                <w:szCs w:val="30"/>
                <w:rtl/>
              </w:rPr>
              <w:t>لالتزام</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المصالح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الآخر</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20</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602" w:history="1">
            <w:r w:rsidR="000F23EA" w:rsidRPr="005E045F">
              <w:rPr>
                <w:rStyle w:val="Lienhypertexte"/>
                <w:rFonts w:hint="eastAsia"/>
                <w:b/>
                <w:bCs/>
                <w:noProof/>
                <w:sz w:val="30"/>
                <w:szCs w:val="30"/>
                <w:rtl/>
              </w:rPr>
              <w:t>المبحث</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خصائص</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784746">
              <w:rPr>
                <w:rStyle w:val="Lienhypertexte"/>
                <w:rFonts w:hint="eastAsia"/>
                <w:noProof/>
                <w:sz w:val="30"/>
                <w:szCs w:val="30"/>
                <w:rtl/>
              </w:rPr>
              <w:t>الصل</w:t>
            </w:r>
            <w:r w:rsidR="00784746">
              <w:rPr>
                <w:rStyle w:val="Lienhypertexte"/>
                <w:rFonts w:hint="cs"/>
                <w:noProof/>
                <w:sz w:val="30"/>
                <w:szCs w:val="30"/>
                <w:rtl/>
              </w:rPr>
              <w:t>ح في الفقه الاسلامي والقانون الجزائري والمقارنة بينهما</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21</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3"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خصائص</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الفقه</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الإسلامي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21</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4"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من</w:t>
            </w:r>
            <w:r w:rsidR="00DF3F5F">
              <w:rPr>
                <w:rStyle w:val="Lienhypertexte"/>
                <w:rFonts w:hint="cs"/>
                <w:noProof/>
                <w:sz w:val="30"/>
                <w:szCs w:val="30"/>
                <w:rtl/>
              </w:rPr>
              <w:t xml:space="preserve"> </w:t>
            </w:r>
            <w:r w:rsidR="000F23EA" w:rsidRPr="005E045F">
              <w:rPr>
                <w:rStyle w:val="Lienhypertexte"/>
                <w:rFonts w:hint="eastAsia"/>
                <w:noProof/>
                <w:sz w:val="30"/>
                <w:szCs w:val="30"/>
                <w:rtl/>
              </w:rPr>
              <w:t>عقود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المعاوضة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21</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5"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رضائي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6"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ملزم</w:t>
            </w:r>
            <w:r w:rsidR="00DF3F5F">
              <w:rPr>
                <w:rStyle w:val="Lienhypertexte"/>
                <w:rFonts w:hint="cs"/>
                <w:noProof/>
                <w:sz w:val="30"/>
                <w:szCs w:val="30"/>
                <w:rtl/>
              </w:rPr>
              <w:t xml:space="preserve"> </w:t>
            </w:r>
            <w:r w:rsidR="000F23EA" w:rsidRPr="005E045F">
              <w:rPr>
                <w:rStyle w:val="Lienhypertexte"/>
                <w:rFonts w:hint="eastAsia"/>
                <w:noProof/>
                <w:sz w:val="30"/>
                <w:szCs w:val="30"/>
                <w:rtl/>
              </w:rPr>
              <w:t>للجانبين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23</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7"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منجز</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23</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8"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خصائص</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09"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من</w:t>
            </w:r>
            <w:r w:rsidR="00DF3F5F">
              <w:rPr>
                <w:rStyle w:val="Lienhypertexte"/>
                <w:rFonts w:hint="cs"/>
                <w:noProof/>
                <w:sz w:val="30"/>
                <w:szCs w:val="30"/>
                <w:rtl/>
              </w:rPr>
              <w:t xml:space="preserve"> </w:t>
            </w:r>
            <w:r w:rsidR="000F23EA" w:rsidRPr="005E045F">
              <w:rPr>
                <w:rStyle w:val="Lienhypertexte"/>
                <w:rFonts w:hint="eastAsia"/>
                <w:noProof/>
                <w:sz w:val="30"/>
                <w:szCs w:val="30"/>
                <w:rtl/>
              </w:rPr>
              <w:t>عقود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المعاوضة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_Toc461013609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0"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رضا</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1"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مسمى</w:t>
            </w:r>
            <w:r w:rsidR="00DF3F5F">
              <w:rPr>
                <w:rStyle w:val="Lienhypertexte"/>
                <w:rFonts w:hint="cs"/>
                <w:noProof/>
                <w:sz w:val="30"/>
                <w:szCs w:val="30"/>
                <w:rtl/>
              </w:rPr>
              <w:t xml:space="preserve"> </w:t>
            </w:r>
            <w:r w:rsidR="000F23EA" w:rsidRPr="005E045F">
              <w:rPr>
                <w:rStyle w:val="Lienhypertexte"/>
                <w:rFonts w:hint="eastAsia"/>
                <w:noProof/>
                <w:sz w:val="30"/>
                <w:szCs w:val="30"/>
                <w:rtl/>
              </w:rPr>
              <w:t>وملزم</w:t>
            </w:r>
            <w:r w:rsidR="00DF3F5F">
              <w:rPr>
                <w:rStyle w:val="Lienhypertexte"/>
                <w:rFonts w:hint="cs"/>
                <w:noProof/>
                <w:sz w:val="30"/>
                <w:szCs w:val="30"/>
                <w:rtl/>
              </w:rPr>
              <w:t xml:space="preserve"> </w:t>
            </w:r>
            <w:r w:rsidR="000F23EA" w:rsidRPr="005E045F">
              <w:rPr>
                <w:rStyle w:val="Lienhypertexte"/>
                <w:rFonts w:hint="eastAsia"/>
                <w:noProof/>
                <w:sz w:val="30"/>
                <w:szCs w:val="30"/>
                <w:rtl/>
              </w:rPr>
              <w:t>للجانبين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25</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2"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محدد</w:t>
            </w:r>
            <w:r w:rsidR="00DF3F5F">
              <w:rPr>
                <w:rStyle w:val="Lienhypertexte"/>
                <w:rFonts w:hint="cs"/>
                <w:noProof/>
                <w:sz w:val="30"/>
                <w:szCs w:val="30"/>
                <w:rtl/>
              </w:rPr>
              <w:t xml:space="preserve"> </w:t>
            </w:r>
            <w:r w:rsidR="000F23EA" w:rsidRPr="005E045F">
              <w:rPr>
                <w:rStyle w:val="Lienhypertexte"/>
                <w:rFonts w:hint="eastAsia"/>
                <w:noProof/>
                <w:sz w:val="30"/>
                <w:szCs w:val="30"/>
                <w:rtl/>
              </w:rPr>
              <w:t>واحتمالي</w:t>
            </w:r>
            <w:r w:rsidR="00DF3F5F">
              <w:rPr>
                <w:rStyle w:val="Lienhypertexte"/>
                <w:rFonts w:hint="cs"/>
                <w:noProof/>
                <w:sz w:val="30"/>
                <w:szCs w:val="30"/>
                <w:rtl/>
              </w:rPr>
              <w:t xml:space="preserve"> </w:t>
            </w:r>
            <w:r w:rsidR="000F23EA" w:rsidRPr="005E045F">
              <w:rPr>
                <w:rStyle w:val="Lienhypertexte"/>
                <w:rFonts w:hint="eastAsia"/>
                <w:noProof/>
                <w:sz w:val="30"/>
                <w:szCs w:val="30"/>
                <w:rtl/>
              </w:rPr>
              <w:t>وفوري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25</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3"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المقارنة</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5E045F">
              <w:rPr>
                <w:rStyle w:val="Lienhypertexte"/>
                <w:rFonts w:hint="cs"/>
                <w:noProof/>
                <w:sz w:val="30"/>
                <w:szCs w:val="30"/>
                <w:rtl/>
              </w:rPr>
              <w:t xml:space="preserve"> عقد الصلح في الفقه الإسلامي والقانون الجزائري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26</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4"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معاوضة</w:t>
            </w:r>
            <w:r w:rsidR="00DF3F5F">
              <w:rPr>
                <w:rStyle w:val="Lienhypertexte"/>
                <w:rFonts w:hint="cs"/>
                <w:noProof/>
                <w:sz w:val="30"/>
                <w:szCs w:val="30"/>
                <w:rtl/>
              </w:rPr>
              <w:t xml:space="preserve"> </w:t>
            </w:r>
            <w:r w:rsidR="000F23EA" w:rsidRPr="005E045F">
              <w:rPr>
                <w:rStyle w:val="Lienhypertexte"/>
                <w:rFonts w:hint="eastAsia"/>
                <w:noProof/>
                <w:sz w:val="30"/>
                <w:szCs w:val="30"/>
                <w:rtl/>
              </w:rPr>
              <w:t>أو</w:t>
            </w:r>
            <w:r w:rsidR="00DF3F5F">
              <w:rPr>
                <w:rStyle w:val="Lienhypertexte"/>
                <w:rFonts w:hint="cs"/>
                <w:noProof/>
                <w:sz w:val="30"/>
                <w:szCs w:val="30"/>
                <w:rtl/>
              </w:rPr>
              <w:t xml:space="preserve"> </w:t>
            </w:r>
            <w:r w:rsidR="000F23EA" w:rsidRPr="005E045F">
              <w:rPr>
                <w:rStyle w:val="Lienhypertexte"/>
                <w:rFonts w:hint="eastAsia"/>
                <w:noProof/>
                <w:sz w:val="30"/>
                <w:szCs w:val="30"/>
                <w:rtl/>
              </w:rPr>
              <w:t>تبرع</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26</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5"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رضائي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6"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ملزم</w:t>
            </w:r>
            <w:r w:rsidR="00DF3F5F">
              <w:rPr>
                <w:rStyle w:val="Lienhypertexte"/>
                <w:rFonts w:hint="cs"/>
                <w:noProof/>
                <w:sz w:val="30"/>
                <w:szCs w:val="30"/>
                <w:rtl/>
              </w:rPr>
              <w:t xml:space="preserve"> </w:t>
            </w:r>
            <w:r w:rsidR="000F23EA" w:rsidRPr="005E045F">
              <w:rPr>
                <w:rStyle w:val="Lienhypertexte"/>
                <w:rFonts w:hint="eastAsia"/>
                <w:noProof/>
                <w:sz w:val="30"/>
                <w:szCs w:val="30"/>
                <w:rtl/>
              </w:rPr>
              <w:t>للجانبين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7"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عقد</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محدد</w:t>
            </w:r>
            <w:r w:rsidR="00DF3F5F">
              <w:rPr>
                <w:rStyle w:val="Lienhypertexte"/>
                <w:rFonts w:hint="cs"/>
                <w:noProof/>
                <w:sz w:val="30"/>
                <w:szCs w:val="30"/>
                <w:rtl/>
              </w:rPr>
              <w:t xml:space="preserve"> </w:t>
            </w:r>
            <w:r w:rsidR="000F23EA" w:rsidRPr="005E045F">
              <w:rPr>
                <w:rStyle w:val="Lienhypertexte"/>
                <w:rFonts w:hint="eastAsia"/>
                <w:noProof/>
                <w:sz w:val="30"/>
                <w:szCs w:val="30"/>
                <w:rtl/>
              </w:rPr>
              <w:t>واحتمالي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18"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الخامس</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فوري</w:t>
            </w:r>
            <w:r w:rsidR="00DF3F5F">
              <w:rPr>
                <w:rStyle w:val="Lienhypertexte"/>
                <w:rFonts w:hint="cs"/>
                <w:noProof/>
                <w:sz w:val="30"/>
                <w:szCs w:val="30"/>
                <w:rtl/>
              </w:rPr>
              <w:t xml:space="preserve"> </w:t>
            </w:r>
            <w:r w:rsidR="000F23EA" w:rsidRPr="005E045F">
              <w:rPr>
                <w:rStyle w:val="Lienhypertexte"/>
                <w:rFonts w:hint="eastAsia"/>
                <w:noProof/>
                <w:sz w:val="30"/>
                <w:szCs w:val="30"/>
                <w:rtl/>
              </w:rPr>
              <w:t>وزمني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28</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619" w:history="1">
            <w:r w:rsidR="000F23EA" w:rsidRPr="005E045F">
              <w:rPr>
                <w:rStyle w:val="Lienhypertexte"/>
                <w:rFonts w:hint="eastAsia"/>
                <w:b/>
                <w:bCs/>
                <w:noProof/>
                <w:sz w:val="30"/>
                <w:szCs w:val="30"/>
                <w:rtl/>
              </w:rPr>
              <w:t>المبحث</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والآثار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DF3F5F">
              <w:rPr>
                <w:rStyle w:val="Lienhypertexte"/>
                <w:rFonts w:hint="cs"/>
                <w:noProof/>
                <w:sz w:val="30"/>
                <w:szCs w:val="30"/>
                <w:rtl/>
              </w:rPr>
              <w:t xml:space="preserve"> </w:t>
            </w:r>
            <w:r w:rsidR="000F23EA" w:rsidRPr="005E045F">
              <w:rPr>
                <w:rStyle w:val="Lienhypertexte"/>
                <w:rFonts w:hint="eastAsia"/>
                <w:noProof/>
                <w:sz w:val="30"/>
                <w:szCs w:val="30"/>
                <w:rtl/>
              </w:rPr>
              <w:t>عنه</w:t>
            </w:r>
            <w:r w:rsidR="00784746">
              <w:rPr>
                <w:rStyle w:val="Lienhypertexte"/>
                <w:rFonts w:hint="cs"/>
                <w:noProof/>
                <w:sz w:val="30"/>
                <w:szCs w:val="30"/>
                <w:rtl/>
              </w:rPr>
              <w:t xml:space="preserve"> وإنقضاء 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_Toc461013619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28</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0"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28</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1"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الفقه</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الإسلامي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29</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2"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29</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3"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الآثار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DF3F5F">
              <w:rPr>
                <w:rStyle w:val="Lienhypertexte"/>
                <w:rFonts w:hint="cs"/>
                <w:noProof/>
                <w:sz w:val="30"/>
                <w:szCs w:val="30"/>
                <w:rtl/>
              </w:rPr>
              <w:t xml:space="preserve"> </w:t>
            </w:r>
            <w:r w:rsidR="000F23EA" w:rsidRPr="005E045F">
              <w:rPr>
                <w:rStyle w:val="Lienhypertexte"/>
                <w:rFonts w:hint="eastAsia"/>
                <w:noProof/>
                <w:sz w:val="30"/>
                <w:szCs w:val="30"/>
                <w:rtl/>
              </w:rPr>
              <w:t>عن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30</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4"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الآثار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DF3F5F">
              <w:rPr>
                <w:rStyle w:val="Lienhypertexte"/>
                <w:rFonts w:hint="cs"/>
                <w:noProof/>
                <w:sz w:val="30"/>
                <w:szCs w:val="30"/>
                <w:rtl/>
              </w:rPr>
              <w:t xml:space="preserve"> </w:t>
            </w:r>
            <w:r w:rsidR="000F23EA" w:rsidRPr="005E045F">
              <w:rPr>
                <w:rStyle w:val="Lienhypertexte"/>
                <w:rFonts w:hint="eastAsia"/>
                <w:noProof/>
                <w:sz w:val="30"/>
                <w:szCs w:val="30"/>
                <w:rtl/>
              </w:rPr>
              <w:t>عن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الفقه</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30</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5"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الآثار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DF3F5F">
              <w:rPr>
                <w:rStyle w:val="Lienhypertexte"/>
                <w:rFonts w:hint="cs"/>
                <w:noProof/>
                <w:sz w:val="30"/>
                <w:szCs w:val="30"/>
                <w:rtl/>
              </w:rPr>
              <w:t xml:space="preserve"> </w:t>
            </w:r>
            <w:r w:rsidR="000F23EA" w:rsidRPr="005E045F">
              <w:rPr>
                <w:rStyle w:val="Lienhypertexte"/>
                <w:rFonts w:hint="eastAsia"/>
                <w:noProof/>
                <w:sz w:val="30"/>
                <w:szCs w:val="30"/>
                <w:rtl/>
              </w:rPr>
              <w:t>عن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31</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6"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انقضاء</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784746">
              <w:rPr>
                <w:rStyle w:val="Lienhypertexte"/>
                <w:rFonts w:hint="cs"/>
                <w:noProof/>
                <w:sz w:val="30"/>
                <w:szCs w:val="30"/>
                <w:rtl/>
              </w:rPr>
              <w:t xml:space="preserve"> في الفقه الإسلامي والقانون الجزائري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7"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انقضاء</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بالفسخ</w:t>
            </w:r>
            <w:r w:rsidR="00DF3F5F">
              <w:rPr>
                <w:rStyle w:val="Lienhypertexte"/>
                <w:rFonts w:hint="cs"/>
                <w:noProof/>
                <w:sz w:val="30"/>
                <w:szCs w:val="30"/>
                <w:rtl/>
              </w:rPr>
              <w:t xml:space="preserve"> </w:t>
            </w:r>
            <w:r w:rsidR="000F23EA" w:rsidRPr="005E045F">
              <w:rPr>
                <w:rStyle w:val="Lienhypertexte"/>
                <w:rFonts w:hint="eastAsia"/>
                <w:noProof/>
                <w:sz w:val="30"/>
                <w:szCs w:val="30"/>
                <w:rtl/>
              </w:rPr>
              <w:t>والبطلان</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الفقه</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الإسلامي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32</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28"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الفسخ</w:t>
            </w:r>
            <w:r w:rsidR="00DF3F5F">
              <w:rPr>
                <w:rStyle w:val="Lienhypertexte"/>
                <w:rFonts w:hint="cs"/>
                <w:noProof/>
                <w:sz w:val="30"/>
                <w:szCs w:val="30"/>
                <w:rtl/>
              </w:rPr>
              <w:t xml:space="preserve"> </w:t>
            </w:r>
            <w:r w:rsidR="000F23EA" w:rsidRPr="005E045F">
              <w:rPr>
                <w:rStyle w:val="Lienhypertexte"/>
                <w:rFonts w:hint="eastAsia"/>
                <w:noProof/>
                <w:sz w:val="30"/>
                <w:szCs w:val="30"/>
                <w:rtl/>
              </w:rPr>
              <w:t>والبطلان</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القانون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_Toc461013628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33</w:t>
            </w:r>
            <w:r w:rsidR="00253BD7" w:rsidRPr="005E045F">
              <w:rPr>
                <w:rStyle w:val="Lienhypertexte"/>
                <w:noProof/>
                <w:sz w:val="30"/>
                <w:szCs w:val="30"/>
                <w:rtl/>
              </w:rPr>
              <w:fldChar w:fldCharType="end"/>
            </w:r>
          </w:hyperlink>
        </w:p>
        <w:p w:rsidR="000F23EA" w:rsidRPr="005E045F" w:rsidRDefault="000F23EA" w:rsidP="005E045F">
          <w:pPr>
            <w:pStyle w:val="TM1"/>
            <w:spacing w:line="240" w:lineRule="auto"/>
            <w:rPr>
              <w:rStyle w:val="Lienhypertexte"/>
              <w:noProof/>
              <w:sz w:val="30"/>
              <w:szCs w:val="30"/>
              <w:rtl/>
            </w:rPr>
          </w:pPr>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40" w:anchor="_Toc461013629" w:history="1">
            <w:r w:rsidR="000F23EA" w:rsidRPr="005E045F">
              <w:rPr>
                <w:rStyle w:val="Lienhypertexte"/>
                <w:rFonts w:hint="eastAsia"/>
                <w:noProof/>
                <w:sz w:val="30"/>
                <w:szCs w:val="30"/>
                <w:rtl/>
              </w:rPr>
              <w:t>الفصل</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الثاني</w:t>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41" w:anchor="_Toc461013630" w:history="1">
            <w:r w:rsidR="000F23EA" w:rsidRPr="005E045F">
              <w:rPr>
                <w:rStyle w:val="Lienhypertexte"/>
                <w:rFonts w:eastAsiaTheme="majorEastAsia" w:hint="eastAsia"/>
                <w:noProof/>
                <w:sz w:val="30"/>
                <w:szCs w:val="30"/>
                <w:rtl/>
              </w:rPr>
              <w:t>الصلح</w:t>
            </w:r>
            <w:r w:rsidR="00DF3F5F">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في</w:t>
            </w:r>
            <w:r w:rsidR="00DF3F5F">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قضايا</w:t>
            </w:r>
            <w:r w:rsidR="00DF3F5F">
              <w:rPr>
                <w:rStyle w:val="Lienhypertexte"/>
                <w:rFonts w:eastAsiaTheme="majorEastAsia" w:hint="cs"/>
                <w:noProof/>
                <w:sz w:val="30"/>
                <w:szCs w:val="30"/>
                <w:rtl/>
              </w:rPr>
              <w:t xml:space="preserve"> </w:t>
            </w:r>
            <w:r w:rsidR="000F23EA" w:rsidRPr="005E045F">
              <w:rPr>
                <w:rStyle w:val="Lienhypertexte"/>
                <w:rFonts w:eastAsiaTheme="majorEastAsia" w:hint="eastAsia"/>
                <w:noProof/>
                <w:sz w:val="30"/>
                <w:szCs w:val="30"/>
                <w:rtl/>
              </w:rPr>
              <w:t>الأسرة</w:t>
            </w:r>
            <w:r w:rsidR="000F23EA" w:rsidRPr="005E045F">
              <w:rPr>
                <w:noProof/>
                <w:webHidden/>
                <w:sz w:val="30"/>
                <w:szCs w:val="30"/>
                <w:highlight w:val="lightGray"/>
              </w:rPr>
              <w:tab/>
            </w:r>
            <w:r w:rsidR="00253BD7" w:rsidRPr="005E045F">
              <w:rPr>
                <w:rStyle w:val="Lienhypertexte"/>
                <w:noProof/>
                <w:sz w:val="30"/>
                <w:szCs w:val="30"/>
                <w:rtl/>
              </w:rPr>
              <w:fldChar w:fldCharType="begin"/>
            </w:r>
            <w:r w:rsidR="000F23EA" w:rsidRPr="005E045F">
              <w:rPr>
                <w:noProof/>
                <w:webHidden/>
                <w:sz w:val="30"/>
                <w:szCs w:val="30"/>
                <w:highlight w:val="lightGray"/>
              </w:rPr>
              <w:instrText xml:space="preserve"> PAGEREF _Toc461013630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highlight w:val="lightGray"/>
                <w:rtl/>
              </w:rPr>
              <w:t>35</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631" w:history="1">
            <w:r w:rsidR="000F23EA" w:rsidRPr="005E045F">
              <w:rPr>
                <w:rStyle w:val="Lienhypertexte"/>
                <w:rFonts w:hint="eastAsia"/>
                <w:b/>
                <w:bCs/>
                <w:noProof/>
                <w:sz w:val="30"/>
                <w:szCs w:val="30"/>
                <w:rtl/>
              </w:rPr>
              <w:t>المبحث</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الشقاق</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37</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2"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أحكام</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التحكيم</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الشقاق</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3"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شروط</w:t>
            </w:r>
            <w:r w:rsidR="00DF3F5F">
              <w:rPr>
                <w:rStyle w:val="Lienhypertexte"/>
                <w:rFonts w:hint="cs"/>
                <w:noProof/>
                <w:sz w:val="30"/>
                <w:szCs w:val="30"/>
                <w:rtl/>
              </w:rPr>
              <w:t xml:space="preserve"> </w:t>
            </w:r>
            <w:r w:rsidR="000F23EA" w:rsidRPr="005E045F">
              <w:rPr>
                <w:rStyle w:val="Lienhypertexte"/>
                <w:rFonts w:hint="eastAsia"/>
                <w:noProof/>
                <w:sz w:val="30"/>
                <w:szCs w:val="30"/>
                <w:rtl/>
              </w:rPr>
              <w:t>بعث</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الحكمين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4"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شروط</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المحكم</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38</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5"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اختيار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الحكمين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40</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6"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عمل</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الحكمين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41</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7"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الإصلاح</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41</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8"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انتهاء</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التحكيم</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الشقاق</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43</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39"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الآثار</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DF3F5F">
              <w:rPr>
                <w:rStyle w:val="Lienhypertexte"/>
                <w:rFonts w:hint="cs"/>
                <w:noProof/>
                <w:sz w:val="30"/>
                <w:szCs w:val="30"/>
                <w:rtl/>
              </w:rPr>
              <w:t xml:space="preserve"> </w:t>
            </w:r>
            <w:r w:rsidR="000F23EA" w:rsidRPr="005E045F">
              <w:rPr>
                <w:rStyle w:val="Lienhypertexte"/>
                <w:rFonts w:hint="eastAsia"/>
                <w:noProof/>
                <w:sz w:val="30"/>
                <w:szCs w:val="30"/>
                <w:rtl/>
              </w:rPr>
              <w:t>عن</w:t>
            </w:r>
            <w:r w:rsidR="00DF3F5F">
              <w:rPr>
                <w:rStyle w:val="Lienhypertexte"/>
                <w:rFonts w:hint="cs"/>
                <w:noProof/>
                <w:sz w:val="30"/>
                <w:szCs w:val="30"/>
                <w:rtl/>
              </w:rPr>
              <w:t xml:space="preserve"> </w:t>
            </w:r>
            <w:r w:rsidR="000F23EA" w:rsidRPr="005E045F">
              <w:rPr>
                <w:rStyle w:val="Lienhypertexte"/>
                <w:rFonts w:hint="eastAsia"/>
                <w:noProof/>
                <w:sz w:val="30"/>
                <w:szCs w:val="30"/>
                <w:rtl/>
              </w:rPr>
              <w:t>عمل</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الحكمين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_Toc461013639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0"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نجاح</w:t>
            </w:r>
            <w:r w:rsidR="00DF3F5F">
              <w:rPr>
                <w:rStyle w:val="Lienhypertexte"/>
                <w:rFonts w:hint="cs"/>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التحكيم</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44</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1" w:history="1">
            <w:r w:rsidR="000F23EA" w:rsidRPr="005E045F">
              <w:rPr>
                <w:rStyle w:val="Lienhypertexte"/>
                <w:rFonts w:hint="eastAsia"/>
                <w:b/>
                <w:bCs/>
                <w:noProof/>
                <w:sz w:val="30"/>
                <w:szCs w:val="30"/>
                <w:rtl/>
              </w:rPr>
              <w:t>الفرع</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فشل</w:t>
            </w:r>
            <w:r w:rsidR="00DF3F5F">
              <w:rPr>
                <w:rStyle w:val="Lienhypertexte"/>
                <w:rFonts w:hint="cs"/>
                <w:noProof/>
                <w:sz w:val="30"/>
                <w:szCs w:val="30"/>
                <w:rtl/>
              </w:rPr>
              <w:t xml:space="preserve"> </w:t>
            </w:r>
            <w:r w:rsidR="000F23EA" w:rsidRPr="005E045F">
              <w:rPr>
                <w:rStyle w:val="Lienhypertexte"/>
                <w:rFonts w:hint="eastAsia"/>
                <w:noProof/>
                <w:sz w:val="30"/>
                <w:szCs w:val="30"/>
                <w:rtl/>
              </w:rPr>
              <w:t>إجراءات</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التحكيم</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بين</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45</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642" w:history="1">
            <w:r w:rsidR="000F23EA" w:rsidRPr="005E045F">
              <w:rPr>
                <w:rStyle w:val="Lienhypertexte"/>
                <w:rFonts w:hint="eastAsia"/>
                <w:b/>
                <w:bCs/>
                <w:noProof/>
                <w:sz w:val="30"/>
                <w:szCs w:val="30"/>
                <w:rtl/>
              </w:rPr>
              <w:t>المبحث</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b/>
                <w:b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في</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الطلاق</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46</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3" w:history="1">
            <w:r w:rsidR="000F23EA" w:rsidRPr="005E045F">
              <w:rPr>
                <w:rStyle w:val="Lienhypertexte"/>
                <w:rFonts w:hint="eastAsia"/>
                <w:b/>
                <w:bCs/>
                <w:noProof/>
                <w:sz w:val="30"/>
                <w:szCs w:val="30"/>
                <w:rtl/>
              </w:rPr>
              <w:t>المطلب</w:t>
            </w:r>
            <w:r w:rsidR="00DF3F5F">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أحكام</w:t>
            </w:r>
            <w:r w:rsidR="00DF3F5F">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DF3F5F">
              <w:rPr>
                <w:rStyle w:val="Lienhypertexte"/>
                <w:rFonts w:hint="cs"/>
                <w:noProof/>
                <w:sz w:val="30"/>
                <w:szCs w:val="30"/>
                <w:rtl/>
              </w:rPr>
              <w:t xml:space="preserve"> </w:t>
            </w:r>
            <w:r w:rsidR="000F23EA" w:rsidRPr="005E045F">
              <w:rPr>
                <w:rStyle w:val="Lienhypertexte"/>
                <w:rFonts w:hint="eastAsia"/>
                <w:noProof/>
                <w:sz w:val="30"/>
                <w:szCs w:val="30"/>
                <w:rtl/>
              </w:rPr>
              <w:t>من</w:t>
            </w:r>
            <w:r w:rsidR="00DF3F5F">
              <w:rPr>
                <w:rStyle w:val="Lienhypertexte"/>
                <w:rFonts w:hint="cs"/>
                <w:noProof/>
                <w:sz w:val="30"/>
                <w:szCs w:val="30"/>
                <w:rtl/>
              </w:rPr>
              <w:t xml:space="preserve"> </w:t>
            </w:r>
            <w:r w:rsidR="000F23EA" w:rsidRPr="005E045F">
              <w:rPr>
                <w:rStyle w:val="Lienhypertexte"/>
                <w:rFonts w:hint="eastAsia"/>
                <w:noProof/>
                <w:sz w:val="30"/>
                <w:szCs w:val="30"/>
                <w:rtl/>
              </w:rPr>
              <w:t>طرف</w:t>
            </w:r>
            <w:r w:rsidR="00DF3F5F">
              <w:rPr>
                <w:rStyle w:val="Lienhypertexte"/>
                <w:rFonts w:hint="cs"/>
                <w:noProof/>
                <w:sz w:val="30"/>
                <w:szCs w:val="30"/>
                <w:rtl/>
              </w:rPr>
              <w:t xml:space="preserve"> </w:t>
            </w:r>
            <w:r w:rsidR="000F23EA" w:rsidRPr="005E045F">
              <w:rPr>
                <w:rStyle w:val="Lienhypertexte"/>
                <w:rFonts w:hint="eastAsia"/>
                <w:noProof/>
                <w:sz w:val="30"/>
                <w:szCs w:val="30"/>
                <w:rtl/>
              </w:rPr>
              <w:t>القاضي</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4" w:history="1">
            <w:r w:rsidR="000F23EA" w:rsidRPr="005E045F">
              <w:rPr>
                <w:rStyle w:val="Lienhypertexte"/>
                <w:rFonts w:hint="eastAsia"/>
                <w:b/>
                <w:bCs/>
                <w:noProof/>
                <w:sz w:val="30"/>
                <w:szCs w:val="30"/>
                <w:rtl/>
              </w:rPr>
              <w:t>الفرع</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القواعد</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الموضوعية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التي</w:t>
            </w:r>
            <w:r w:rsidR="00784746">
              <w:rPr>
                <w:rStyle w:val="Lienhypertexte"/>
                <w:rFonts w:hint="cs"/>
                <w:noProof/>
                <w:sz w:val="30"/>
                <w:szCs w:val="30"/>
                <w:rtl/>
              </w:rPr>
              <w:t xml:space="preserve"> </w:t>
            </w:r>
            <w:r w:rsidR="000F23EA" w:rsidRPr="005E045F">
              <w:rPr>
                <w:rStyle w:val="Lienhypertexte"/>
                <w:rFonts w:hint="eastAsia"/>
                <w:noProof/>
                <w:sz w:val="30"/>
                <w:szCs w:val="30"/>
                <w:rtl/>
              </w:rPr>
              <w:t>تحكم</w:t>
            </w:r>
            <w:r w:rsidR="00DF3F5F">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DF3F5F">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47</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5" w:history="1">
            <w:r w:rsidR="000F23EA" w:rsidRPr="005E045F">
              <w:rPr>
                <w:rStyle w:val="Lienhypertexte"/>
                <w:rFonts w:hint="eastAsia"/>
                <w:b/>
                <w:bCs/>
                <w:noProof/>
                <w:sz w:val="30"/>
                <w:szCs w:val="30"/>
                <w:rtl/>
              </w:rPr>
              <w:t>الفرع</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القواعد</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الشكلية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التي</w:t>
            </w:r>
            <w:r w:rsidR="00784746">
              <w:rPr>
                <w:rStyle w:val="Lienhypertexte"/>
                <w:rFonts w:hint="cs"/>
                <w:noProof/>
                <w:sz w:val="30"/>
                <w:szCs w:val="30"/>
                <w:rtl/>
              </w:rPr>
              <w:t xml:space="preserve"> </w:t>
            </w:r>
            <w:r w:rsidR="000F23EA" w:rsidRPr="005E045F">
              <w:rPr>
                <w:rStyle w:val="Lienhypertexte"/>
                <w:rFonts w:hint="eastAsia"/>
                <w:noProof/>
                <w:sz w:val="30"/>
                <w:szCs w:val="30"/>
                <w:rtl/>
              </w:rPr>
              <w:t>تحكم</w:t>
            </w:r>
            <w:r w:rsidR="00784746">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49</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6"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ميعاد</w:t>
            </w:r>
            <w:r w:rsidR="00784746">
              <w:rPr>
                <w:rStyle w:val="Lienhypertexte"/>
                <w:rFonts w:hint="cs"/>
                <w:noProof/>
                <w:sz w:val="30"/>
                <w:szCs w:val="30"/>
                <w:rtl/>
              </w:rPr>
              <w:t xml:space="preserve"> </w:t>
            </w:r>
            <w:r w:rsidR="000F23EA" w:rsidRPr="005E045F">
              <w:rPr>
                <w:rStyle w:val="Lienhypertexte"/>
                <w:rFonts w:hint="eastAsia"/>
                <w:noProof/>
                <w:sz w:val="30"/>
                <w:szCs w:val="30"/>
                <w:rtl/>
              </w:rPr>
              <w:t>ووقت</w:t>
            </w:r>
            <w:r w:rsidR="00784746">
              <w:rPr>
                <w:rStyle w:val="Lienhypertexte"/>
                <w:rFonts w:hint="cs"/>
                <w:noProof/>
                <w:sz w:val="30"/>
                <w:szCs w:val="30"/>
                <w:rtl/>
              </w:rPr>
              <w:t xml:space="preserve"> </w:t>
            </w:r>
            <w:r w:rsidR="000F23EA" w:rsidRPr="005E045F">
              <w:rPr>
                <w:rStyle w:val="Lienhypertexte"/>
                <w:rFonts w:hint="eastAsia"/>
                <w:noProof/>
                <w:sz w:val="30"/>
                <w:szCs w:val="30"/>
                <w:rtl/>
              </w:rPr>
              <w:t>عقد</w:t>
            </w:r>
            <w:r w:rsidR="00784746">
              <w:rPr>
                <w:rStyle w:val="Lienhypertexte"/>
                <w:rFonts w:hint="cs"/>
                <w:noProof/>
                <w:sz w:val="30"/>
                <w:szCs w:val="30"/>
                <w:rtl/>
              </w:rPr>
              <w:t xml:space="preserve"> </w:t>
            </w:r>
            <w:r w:rsidR="000F23EA" w:rsidRPr="005E045F">
              <w:rPr>
                <w:rStyle w:val="Lienhypertexte"/>
                <w:rFonts w:hint="eastAsia"/>
                <w:noProof/>
                <w:sz w:val="30"/>
                <w:szCs w:val="30"/>
                <w:rtl/>
              </w:rPr>
              <w:t>جلسة</w:t>
            </w:r>
            <w:r w:rsidR="00784746">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51</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7"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إجراءات</w:t>
            </w:r>
            <w:r w:rsidR="00784746">
              <w:rPr>
                <w:rStyle w:val="Lienhypertexte"/>
                <w:rFonts w:hint="cs"/>
                <w:noProof/>
                <w:sz w:val="30"/>
                <w:szCs w:val="30"/>
                <w:rtl/>
              </w:rPr>
              <w:t xml:space="preserve"> </w:t>
            </w:r>
            <w:r w:rsidR="000F23EA" w:rsidRPr="005E045F">
              <w:rPr>
                <w:rStyle w:val="Lienhypertexte"/>
                <w:rFonts w:hint="eastAsia"/>
                <w:noProof/>
                <w:sz w:val="30"/>
                <w:szCs w:val="30"/>
                <w:rtl/>
              </w:rPr>
              <w:t>انعقاد</w:t>
            </w:r>
            <w:r w:rsidR="00784746">
              <w:rPr>
                <w:rStyle w:val="Lienhypertexte"/>
                <w:rFonts w:hint="cs"/>
                <w:noProof/>
                <w:sz w:val="30"/>
                <w:szCs w:val="30"/>
                <w:rtl/>
              </w:rPr>
              <w:t xml:space="preserve"> </w:t>
            </w:r>
            <w:r w:rsidR="000F23EA" w:rsidRPr="005E045F">
              <w:rPr>
                <w:rStyle w:val="Lienhypertexte"/>
                <w:rFonts w:hint="eastAsia"/>
                <w:noProof/>
                <w:sz w:val="30"/>
                <w:szCs w:val="30"/>
                <w:rtl/>
              </w:rPr>
              <w:t>وسير</w:t>
            </w:r>
            <w:r w:rsidR="00784746">
              <w:rPr>
                <w:rStyle w:val="Lienhypertexte"/>
                <w:rFonts w:hint="cs"/>
                <w:noProof/>
                <w:sz w:val="30"/>
                <w:szCs w:val="30"/>
                <w:rtl/>
              </w:rPr>
              <w:t xml:space="preserve"> </w:t>
            </w:r>
            <w:r w:rsidR="000F23EA" w:rsidRPr="005E045F">
              <w:rPr>
                <w:rStyle w:val="Lienhypertexte"/>
                <w:rFonts w:hint="eastAsia"/>
                <w:noProof/>
                <w:sz w:val="30"/>
                <w:szCs w:val="30"/>
                <w:rtl/>
              </w:rPr>
              <w:t>جلسة</w:t>
            </w:r>
            <w:r w:rsidR="00784746">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52</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8"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الرابع</w:t>
            </w:r>
            <w:r w:rsidR="000F23EA" w:rsidRPr="005E045F">
              <w:rPr>
                <w:rStyle w:val="Lienhypertexte"/>
                <w:noProof/>
                <w:sz w:val="30"/>
                <w:szCs w:val="30"/>
                <w:rtl/>
              </w:rPr>
              <w:t xml:space="preserve">: </w:t>
            </w:r>
            <w:r w:rsidR="000F23EA" w:rsidRPr="005E045F">
              <w:rPr>
                <w:rStyle w:val="Lienhypertexte"/>
                <w:rFonts w:hint="eastAsia"/>
                <w:noProof/>
                <w:sz w:val="30"/>
                <w:szCs w:val="30"/>
                <w:rtl/>
              </w:rPr>
              <w:t>مدى</w:t>
            </w:r>
            <w:r w:rsidR="00784746">
              <w:rPr>
                <w:rStyle w:val="Lienhypertexte"/>
                <w:rFonts w:hint="cs"/>
                <w:noProof/>
                <w:sz w:val="30"/>
                <w:szCs w:val="30"/>
                <w:rtl/>
              </w:rPr>
              <w:t xml:space="preserve"> </w:t>
            </w:r>
            <w:r w:rsidR="000F23EA" w:rsidRPr="005E045F">
              <w:rPr>
                <w:rStyle w:val="Lienhypertexte"/>
                <w:rFonts w:hint="eastAsia"/>
                <w:noProof/>
                <w:sz w:val="30"/>
                <w:szCs w:val="30"/>
                <w:rtl/>
              </w:rPr>
              <w:t>إلزامية</w:t>
            </w:r>
            <w:r w:rsidR="00784746">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_Toc461013648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53</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49"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الخامس</w:t>
            </w:r>
            <w:r w:rsidR="000F23EA" w:rsidRPr="005E045F">
              <w:rPr>
                <w:rStyle w:val="Lienhypertexte"/>
                <w:noProof/>
                <w:sz w:val="30"/>
                <w:szCs w:val="30"/>
                <w:rtl/>
              </w:rPr>
              <w:t xml:space="preserve">: </w:t>
            </w:r>
            <w:r w:rsidR="000F23EA" w:rsidRPr="005E045F">
              <w:rPr>
                <w:rStyle w:val="Lienhypertexte"/>
                <w:rFonts w:hint="eastAsia"/>
                <w:noProof/>
                <w:sz w:val="30"/>
                <w:szCs w:val="30"/>
                <w:rtl/>
              </w:rPr>
              <w:t>آثار</w:t>
            </w:r>
            <w:r w:rsidR="00784746">
              <w:rPr>
                <w:rStyle w:val="Lienhypertexte"/>
                <w:rFonts w:hint="cs"/>
                <w:noProof/>
                <w:sz w:val="30"/>
                <w:szCs w:val="30"/>
                <w:rtl/>
              </w:rPr>
              <w:t xml:space="preserve"> </w:t>
            </w:r>
            <w:r w:rsidR="000F23EA" w:rsidRPr="005E045F">
              <w:rPr>
                <w:rStyle w:val="Lienhypertexte"/>
                <w:rFonts w:hint="eastAsia"/>
                <w:noProof/>
                <w:sz w:val="30"/>
                <w:szCs w:val="30"/>
                <w:rtl/>
              </w:rPr>
              <w:t>محاولة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الصلح</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_Toc461013649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55</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w:anchor="_Toc461013650" w:history="1">
            <w:r w:rsidR="000F23EA" w:rsidRPr="005E045F">
              <w:rPr>
                <w:rStyle w:val="Lienhypertexte"/>
                <w:rFonts w:hint="eastAsia"/>
                <w:b/>
                <w:bCs/>
                <w:noProof/>
                <w:sz w:val="30"/>
                <w:szCs w:val="30"/>
                <w:rtl/>
              </w:rPr>
              <w:t>المبحث</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الصلح</w:t>
            </w:r>
            <w:r w:rsidR="00784746">
              <w:rPr>
                <w:rStyle w:val="Lienhypertexte"/>
                <w:rFonts w:hint="cs"/>
                <w:noProof/>
                <w:sz w:val="30"/>
                <w:szCs w:val="30"/>
                <w:rtl/>
              </w:rPr>
              <w:t xml:space="preserve"> </w:t>
            </w:r>
            <w:r w:rsidR="000F23EA" w:rsidRPr="005E045F">
              <w:rPr>
                <w:rStyle w:val="Lienhypertexte"/>
                <w:rFonts w:hint="eastAsia"/>
                <w:noProof/>
                <w:sz w:val="30"/>
                <w:szCs w:val="30"/>
                <w:rtl/>
              </w:rPr>
              <w:t>عند</w:t>
            </w:r>
            <w:r w:rsidR="00784746">
              <w:rPr>
                <w:rStyle w:val="Lienhypertexte"/>
                <w:rFonts w:hint="cs"/>
                <w:noProof/>
                <w:sz w:val="30"/>
                <w:szCs w:val="30"/>
                <w:rtl/>
              </w:rPr>
              <w:t xml:space="preserve"> </w:t>
            </w:r>
            <w:r w:rsidR="000F23EA" w:rsidRPr="005E045F">
              <w:rPr>
                <w:rStyle w:val="Lienhypertexte"/>
                <w:rFonts w:hint="eastAsia"/>
                <w:noProof/>
                <w:sz w:val="30"/>
                <w:szCs w:val="30"/>
                <w:rtl/>
              </w:rPr>
              <w:t>نشوز</w:t>
            </w:r>
            <w:r w:rsidR="00784746">
              <w:rPr>
                <w:rStyle w:val="Lienhypertexte"/>
                <w:rFonts w:hint="cs"/>
                <w:noProof/>
                <w:sz w:val="30"/>
                <w:szCs w:val="30"/>
                <w:rtl/>
              </w:rPr>
              <w:t xml:space="preserve"> </w:t>
            </w:r>
            <w:r w:rsidR="000F23EA" w:rsidRPr="005E045F">
              <w:rPr>
                <w:rStyle w:val="Lienhypertexte"/>
                <w:rFonts w:hint="eastAsia"/>
                <w:noProof/>
                <w:sz w:val="30"/>
                <w:szCs w:val="30"/>
                <w:rtl/>
              </w:rPr>
              <w:t>أحد</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الزوجين</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_Toc461013650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58</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51"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حالات</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النشوز</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_Toc461013651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59</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52" w:history="1">
            <w:r w:rsidR="000F23EA" w:rsidRPr="005E045F">
              <w:rPr>
                <w:rStyle w:val="Lienhypertexte"/>
                <w:rFonts w:hint="eastAsia"/>
                <w:b/>
                <w:bCs/>
                <w:noProof/>
                <w:sz w:val="30"/>
                <w:szCs w:val="30"/>
                <w:rtl/>
              </w:rPr>
              <w:t>الفرعالأول</w:t>
            </w:r>
            <w:r w:rsidR="000F23EA" w:rsidRPr="005E045F">
              <w:rPr>
                <w:rStyle w:val="Lienhypertexte"/>
                <w:noProof/>
                <w:sz w:val="30"/>
                <w:szCs w:val="30"/>
                <w:rtl/>
              </w:rPr>
              <w:t xml:space="preserve">: </w:t>
            </w:r>
            <w:r w:rsidR="000F23EA" w:rsidRPr="005E045F">
              <w:rPr>
                <w:rStyle w:val="Lienhypertexte"/>
                <w:rFonts w:hint="eastAsia"/>
                <w:noProof/>
                <w:sz w:val="30"/>
                <w:szCs w:val="30"/>
                <w:rtl/>
              </w:rPr>
              <w:t>حالات</w:t>
            </w:r>
            <w:r w:rsidR="00784746">
              <w:rPr>
                <w:rStyle w:val="Lienhypertexte"/>
                <w:rFonts w:hint="cs"/>
                <w:noProof/>
                <w:sz w:val="30"/>
                <w:szCs w:val="30"/>
                <w:rtl/>
              </w:rPr>
              <w:t xml:space="preserve"> </w:t>
            </w:r>
            <w:r w:rsidR="000F23EA" w:rsidRPr="005E045F">
              <w:rPr>
                <w:rStyle w:val="Lienhypertexte"/>
                <w:rFonts w:hint="eastAsia"/>
                <w:noProof/>
                <w:sz w:val="30"/>
                <w:szCs w:val="30"/>
                <w:rtl/>
              </w:rPr>
              <w:t>نشوز</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الزوج</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_Toc461013652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59</w:t>
            </w:r>
            <w:r w:rsidR="00253BD7" w:rsidRPr="005E045F">
              <w:rPr>
                <w:rStyle w:val="Lienhypertexte"/>
                <w:noProof/>
                <w:sz w:val="30"/>
                <w:szCs w:val="30"/>
                <w:rtl/>
              </w:rPr>
              <w:fldChar w:fldCharType="end"/>
            </w:r>
          </w:hyperlink>
        </w:p>
        <w:p w:rsidR="000F23EA" w:rsidRPr="005E045F" w:rsidRDefault="00BB7C56" w:rsidP="005E045F">
          <w:pPr>
            <w:pStyle w:val="TM3"/>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53" w:history="1">
            <w:r w:rsidR="000F23EA" w:rsidRPr="005E045F">
              <w:rPr>
                <w:rStyle w:val="Lienhypertexte"/>
                <w:rFonts w:hint="eastAsia"/>
                <w:b/>
                <w:bCs/>
                <w:noProof/>
                <w:sz w:val="30"/>
                <w:szCs w:val="30"/>
                <w:rtl/>
              </w:rPr>
              <w:t>الفرع</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حالات</w:t>
            </w:r>
            <w:r w:rsidR="00784746">
              <w:rPr>
                <w:rStyle w:val="Lienhypertexte"/>
                <w:rFonts w:hint="cs"/>
                <w:noProof/>
                <w:sz w:val="30"/>
                <w:szCs w:val="30"/>
                <w:rtl/>
              </w:rPr>
              <w:t xml:space="preserve"> </w:t>
            </w:r>
            <w:r w:rsidR="000F23EA" w:rsidRPr="005E045F">
              <w:rPr>
                <w:rStyle w:val="Lienhypertexte"/>
                <w:rFonts w:hint="eastAsia"/>
                <w:noProof/>
                <w:sz w:val="30"/>
                <w:szCs w:val="30"/>
                <w:rtl/>
              </w:rPr>
              <w:t>نشوز</w:t>
            </w:r>
            <w:r w:rsidR="00784746">
              <w:rPr>
                <w:rStyle w:val="Lienhypertexte"/>
                <w:rFonts w:hint="cs"/>
                <w:noProof/>
                <w:sz w:val="30"/>
                <w:szCs w:val="30"/>
                <w:rtl/>
              </w:rPr>
              <w:t xml:space="preserve"> </w:t>
            </w:r>
            <w:r w:rsidR="000F23EA" w:rsidRPr="005E045F">
              <w:rPr>
                <w:rStyle w:val="Lienhypertexte"/>
                <w:rFonts w:hint="eastAsia"/>
                <w:noProof/>
                <w:sz w:val="30"/>
                <w:szCs w:val="30"/>
                <w:rtl/>
              </w:rPr>
              <w:t>الزوجة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_Toc461013653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62</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54"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الثاني</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الإجراءات</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المنفذة</w:t>
            </w:r>
            <w:r w:rsidR="00784746">
              <w:rPr>
                <w:rStyle w:val="Lienhypertexte"/>
                <w:rFonts w:hint="cs"/>
                <w:noProof/>
                <w:sz w:val="30"/>
                <w:szCs w:val="30"/>
                <w:rtl/>
              </w:rPr>
              <w:t xml:space="preserve"> </w:t>
            </w:r>
            <w:r w:rsidR="000F23EA" w:rsidRPr="005E045F">
              <w:rPr>
                <w:rStyle w:val="Lienhypertexte"/>
                <w:rFonts w:hint="eastAsia"/>
                <w:noProof/>
                <w:sz w:val="30"/>
                <w:szCs w:val="30"/>
                <w:rtl/>
              </w:rPr>
              <w:t>عند</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النشوز</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_Toc461013654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68</w:t>
            </w:r>
            <w:r w:rsidR="00253BD7" w:rsidRPr="005E045F">
              <w:rPr>
                <w:rStyle w:val="Lienhypertexte"/>
                <w:noProof/>
                <w:sz w:val="30"/>
                <w:szCs w:val="30"/>
                <w:rtl/>
              </w:rPr>
              <w:fldChar w:fldCharType="end"/>
            </w:r>
          </w:hyperlink>
        </w:p>
        <w:p w:rsidR="000F23EA" w:rsidRPr="005E045F" w:rsidRDefault="00BB7C56" w:rsidP="005E045F">
          <w:pPr>
            <w:pStyle w:val="TM2"/>
            <w:tabs>
              <w:tab w:val="right" w:leader="dot" w:pos="9344"/>
            </w:tabs>
            <w:spacing w:line="240" w:lineRule="auto"/>
            <w:rPr>
              <w:rFonts w:asciiTheme="minorHAnsi" w:eastAsiaTheme="minorEastAsia" w:hAnsiTheme="minorHAnsi" w:cstheme="minorBidi"/>
              <w:noProof/>
              <w:sz w:val="30"/>
              <w:szCs w:val="30"/>
              <w:lang w:val="en-US" w:bidi="ar-SA"/>
            </w:rPr>
          </w:pPr>
          <w:hyperlink w:anchor="_Toc461013655" w:history="1">
            <w:r w:rsidR="000F23EA" w:rsidRPr="005E045F">
              <w:rPr>
                <w:rStyle w:val="Lienhypertexte"/>
                <w:rFonts w:hint="eastAsia"/>
                <w:b/>
                <w:bCs/>
                <w:noProof/>
                <w:sz w:val="30"/>
                <w:szCs w:val="30"/>
                <w:rtl/>
              </w:rPr>
              <w:t>المطلب</w:t>
            </w:r>
            <w:r w:rsidR="00784746">
              <w:rPr>
                <w:rStyle w:val="Lienhypertexte"/>
                <w:rFonts w:hint="cs"/>
                <w:b/>
                <w:bCs/>
                <w:noProof/>
                <w:sz w:val="30"/>
                <w:szCs w:val="30"/>
                <w:rtl/>
              </w:rPr>
              <w:t xml:space="preserve"> </w:t>
            </w:r>
            <w:r w:rsidR="000F23EA" w:rsidRPr="005E045F">
              <w:rPr>
                <w:rStyle w:val="Lienhypertexte"/>
                <w:rFonts w:hint="eastAsia"/>
                <w:b/>
                <w:bCs/>
                <w:noProof/>
                <w:sz w:val="30"/>
                <w:szCs w:val="30"/>
                <w:rtl/>
              </w:rPr>
              <w:t>الثالث</w:t>
            </w:r>
            <w:r w:rsidR="000F23EA" w:rsidRPr="005E045F">
              <w:rPr>
                <w:rStyle w:val="Lienhypertexte"/>
                <w:noProof/>
                <w:sz w:val="30"/>
                <w:szCs w:val="30"/>
                <w:rtl/>
              </w:rPr>
              <w:t xml:space="preserve">: </w:t>
            </w:r>
            <w:r w:rsidR="000F23EA" w:rsidRPr="005E045F">
              <w:rPr>
                <w:rStyle w:val="Lienhypertexte"/>
                <w:rFonts w:hint="eastAsia"/>
                <w:noProof/>
                <w:sz w:val="30"/>
                <w:szCs w:val="30"/>
                <w:rtl/>
              </w:rPr>
              <w:t>الآثار</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المترتبة</w:t>
            </w:r>
            <w:r w:rsidR="00784746">
              <w:rPr>
                <w:rStyle w:val="Lienhypertexte"/>
                <w:rFonts w:hint="cs"/>
                <w:noProof/>
                <w:sz w:val="30"/>
                <w:szCs w:val="30"/>
                <w:rtl/>
              </w:rPr>
              <w:t xml:space="preserve"> </w:t>
            </w:r>
            <w:r w:rsidR="000F23EA" w:rsidRPr="005E045F">
              <w:rPr>
                <w:rStyle w:val="Lienhypertexte"/>
                <w:rFonts w:hint="eastAsia"/>
                <w:noProof/>
                <w:sz w:val="30"/>
                <w:szCs w:val="30"/>
                <w:rtl/>
              </w:rPr>
              <w:t>عن</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النشوز</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_Toc461013655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74</w:t>
            </w:r>
            <w:r w:rsidR="00253BD7" w:rsidRPr="005E045F">
              <w:rPr>
                <w:rStyle w:val="Lienhypertexte"/>
                <w:noProof/>
                <w:sz w:val="30"/>
                <w:szCs w:val="30"/>
                <w:rtl/>
              </w:rPr>
              <w:fldChar w:fldCharType="end"/>
            </w:r>
          </w:hyperlink>
        </w:p>
        <w:p w:rsidR="000F23EA" w:rsidRPr="005E045F" w:rsidRDefault="00BB7C56" w:rsidP="005E045F">
          <w:pPr>
            <w:pStyle w:val="TM1"/>
            <w:spacing w:line="240" w:lineRule="auto"/>
            <w:rPr>
              <w:rFonts w:asciiTheme="minorHAnsi" w:eastAsiaTheme="minorEastAsia" w:hAnsiTheme="minorHAnsi" w:cstheme="minorBidi"/>
              <w:noProof/>
              <w:sz w:val="30"/>
              <w:szCs w:val="30"/>
              <w:lang w:val="en-US" w:bidi="ar-SA"/>
            </w:rPr>
          </w:pPr>
          <w:hyperlink r:id="rId42" w:anchor="_Toc461013656" w:history="1">
            <w:r w:rsidR="000F23EA" w:rsidRPr="005E045F">
              <w:rPr>
                <w:rStyle w:val="Lienhypertexte"/>
                <w:rFonts w:hint="eastAsia"/>
                <w:noProof/>
                <w:sz w:val="30"/>
                <w:szCs w:val="30"/>
                <w:rtl/>
              </w:rPr>
              <w:t>الخاتمة</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_Toc461013656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75</w:t>
            </w:r>
            <w:r w:rsidR="00253BD7" w:rsidRPr="005E045F">
              <w:rPr>
                <w:rStyle w:val="Lienhypertexte"/>
                <w:noProof/>
                <w:sz w:val="30"/>
                <w:szCs w:val="30"/>
                <w:rtl/>
              </w:rPr>
              <w:fldChar w:fldCharType="end"/>
            </w:r>
          </w:hyperlink>
        </w:p>
        <w:p w:rsidR="000F23EA" w:rsidRDefault="00BB7C56" w:rsidP="005E045F">
          <w:pPr>
            <w:pStyle w:val="TM1"/>
            <w:spacing w:line="240" w:lineRule="auto"/>
          </w:pPr>
          <w:hyperlink r:id="rId43" w:anchor="_Toc461013657" w:history="1">
            <w:r w:rsidR="000F23EA" w:rsidRPr="005E045F">
              <w:rPr>
                <w:rStyle w:val="Lienhypertexte"/>
                <w:rFonts w:hint="eastAsia"/>
                <w:noProof/>
                <w:sz w:val="30"/>
                <w:szCs w:val="30"/>
                <w:rtl/>
              </w:rPr>
              <w:t>قائمة</w:t>
            </w:r>
            <w:r w:rsidR="00784746">
              <w:rPr>
                <w:rStyle w:val="Lienhypertexte"/>
                <w:rFonts w:hint="cs"/>
                <w:noProof/>
                <w:sz w:val="30"/>
                <w:szCs w:val="30"/>
                <w:rtl/>
              </w:rPr>
              <w:t xml:space="preserve"> </w:t>
            </w:r>
            <w:r w:rsidR="000F23EA" w:rsidRPr="005E045F">
              <w:rPr>
                <w:rStyle w:val="Lienhypertexte"/>
                <w:rFonts w:hint="eastAsia"/>
                <w:noProof/>
                <w:sz w:val="30"/>
                <w:szCs w:val="30"/>
                <w:rtl/>
              </w:rPr>
              <w:t>المراجع</w:t>
            </w:r>
            <w:r w:rsidR="00784746">
              <w:rPr>
                <w:rStyle w:val="Lienhypertexte"/>
                <w:rFonts w:hint="cs"/>
                <w:noProof/>
                <w:sz w:val="30"/>
                <w:szCs w:val="30"/>
                <w:rtl/>
              </w:rPr>
              <w:t xml:space="preserve"> </w:t>
            </w:r>
            <w:r w:rsidR="000F23EA" w:rsidRPr="005E045F">
              <w:rPr>
                <w:rStyle w:val="Lienhypertexte"/>
                <w:rFonts w:hint="eastAsia"/>
                <w:noProof/>
                <w:sz w:val="30"/>
                <w:szCs w:val="30"/>
                <w:rtl/>
              </w:rPr>
              <w:t>والمصادر</w:t>
            </w:r>
            <w:r w:rsidR="000F23EA" w:rsidRPr="005E045F">
              <w:rPr>
                <w:noProof/>
                <w:webHidden/>
                <w:sz w:val="30"/>
                <w:szCs w:val="30"/>
              </w:rPr>
              <w:tab/>
            </w:r>
            <w:r w:rsidR="00253BD7" w:rsidRPr="005E045F">
              <w:rPr>
                <w:rStyle w:val="Lienhypertexte"/>
                <w:noProof/>
                <w:sz w:val="30"/>
                <w:szCs w:val="30"/>
                <w:rtl/>
              </w:rPr>
              <w:fldChar w:fldCharType="begin"/>
            </w:r>
            <w:r w:rsidR="000F23EA" w:rsidRPr="005E045F">
              <w:rPr>
                <w:noProof/>
                <w:webHidden/>
                <w:sz w:val="30"/>
                <w:szCs w:val="30"/>
              </w:rPr>
              <w:instrText xml:space="preserve"> PAGEREF _Toc461013657 \h </w:instrText>
            </w:r>
            <w:r w:rsidR="00253BD7" w:rsidRPr="005E045F">
              <w:rPr>
                <w:rStyle w:val="Lienhypertexte"/>
                <w:noProof/>
                <w:sz w:val="30"/>
                <w:szCs w:val="30"/>
                <w:rtl/>
              </w:rPr>
            </w:r>
            <w:r w:rsidR="00253BD7" w:rsidRPr="005E045F">
              <w:rPr>
                <w:rStyle w:val="Lienhypertexte"/>
                <w:noProof/>
                <w:sz w:val="30"/>
                <w:szCs w:val="30"/>
                <w:rtl/>
              </w:rPr>
              <w:fldChar w:fldCharType="separate"/>
            </w:r>
            <w:r w:rsidR="000C1635">
              <w:rPr>
                <w:noProof/>
                <w:webHidden/>
                <w:sz w:val="30"/>
                <w:szCs w:val="30"/>
                <w:rtl/>
              </w:rPr>
              <w:t>75</w:t>
            </w:r>
            <w:r w:rsidR="00253BD7" w:rsidRPr="005E045F">
              <w:rPr>
                <w:rStyle w:val="Lienhypertexte"/>
                <w:noProof/>
                <w:sz w:val="30"/>
                <w:szCs w:val="30"/>
                <w:rtl/>
              </w:rPr>
              <w:fldChar w:fldCharType="end"/>
            </w:r>
          </w:hyperlink>
          <w:r w:rsidR="00253BD7" w:rsidRPr="005E045F">
            <w:rPr>
              <w:b/>
              <w:bCs/>
              <w:sz w:val="30"/>
              <w:szCs w:val="30"/>
              <w:lang w:val="ar-SA"/>
            </w:rPr>
            <w:fldChar w:fldCharType="end"/>
          </w:r>
        </w:p>
      </w:sdtContent>
    </w:sdt>
    <w:sectPr w:rsidR="000F23EA" w:rsidSect="00546E2A">
      <w:headerReference w:type="default" r:id="rId44"/>
      <w:footerReference w:type="default" r:id="rId45"/>
      <w:pgSz w:w="11906" w:h="16838"/>
      <w:pgMar w:top="1134" w:right="1701" w:bottom="1134" w:left="851" w:header="708" w:footer="708" w:gutter="0"/>
      <w:pgNumType w:start="9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C56" w:rsidRDefault="00BB7C56" w:rsidP="004A2766">
      <w:pPr>
        <w:spacing w:after="0" w:line="240" w:lineRule="auto"/>
      </w:pPr>
      <w:r>
        <w:separator/>
      </w:r>
    </w:p>
  </w:endnote>
  <w:endnote w:type="continuationSeparator" w:id="0">
    <w:p w:rsidR="00BB7C56" w:rsidRDefault="00BB7C56" w:rsidP="004A2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ae_Metal">
    <w:altName w:val="Times New Roman"/>
    <w:charset w:val="00"/>
    <w:family w:val="roman"/>
    <w:pitch w:val="variable"/>
    <w:sig w:usb0="800020AF" w:usb1="C000204A" w:usb2="00000008" w:usb3="00000000" w:csb0="00000041" w:csb1="00000000"/>
  </w:font>
  <w:font w:name="Thulth">
    <w:altName w:val="Times New Roman"/>
    <w:charset w:val="B2"/>
    <w:family w:val="auto"/>
    <w:pitch w:val="variable"/>
    <w:sig w:usb0="00002000" w:usb1="00000000" w:usb2="00000000" w:usb3="00000000" w:csb0="00000040" w:csb1="00000000"/>
  </w:font>
  <w:font w:name="AGA Arabesque">
    <w:altName w:val="Symbol"/>
    <w:charset w:val="02"/>
    <w:family w:val="auto"/>
    <w:pitch w:val="variable"/>
    <w:sig w:usb0="00000000" w:usb1="10000000" w:usb2="00000000" w:usb3="00000000" w:csb0="80000000" w:csb1="00000000"/>
  </w:font>
  <w:font w:name="Hacen Casablanca Light">
    <w:charset w:val="00"/>
    <w:family w:val="auto"/>
    <w:pitch w:val="variable"/>
    <w:sig w:usb0="00002003" w:usb1="00000000" w:usb2="00000000" w:usb3="00000000" w:csb0="00000041" w:csb1="00000000"/>
  </w:font>
  <w:font w:name="Medina Lt BT">
    <w:altName w:val="Times New Roman"/>
    <w:charset w:val="B2"/>
    <w:family w:val="auto"/>
    <w:pitch w:val="variable"/>
    <w:sig w:usb0="00002000" w:usb1="00000000" w:usb2="00000000" w:usb3="00000000" w:csb0="00000040" w:csb1="00000000"/>
  </w:font>
  <w:font w:name="Hacen Vanilla">
    <w:altName w:val="Times New Roman"/>
    <w:charset w:val="00"/>
    <w:family w:val="auto"/>
    <w:pitch w:val="variable"/>
    <w:sig w:usb0="00002003" w:usb1="00000000" w:usb2="00000000" w:usb3="00000000" w:csb0="00000041" w:csb1="00000000"/>
  </w:font>
  <w:font w:name="Kufi Outline Shaded">
    <w:altName w:val="Courier New"/>
    <w:charset w:val="B2"/>
    <w:family w:val="decorative"/>
    <w:pitch w:val="variable"/>
    <w:sig w:usb0="00002000"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85418867"/>
      <w:docPartObj>
        <w:docPartGallery w:val="Page Numbers (Bottom of Page)"/>
        <w:docPartUnique/>
      </w:docPartObj>
    </w:sdtPr>
    <w:sdtEndPr/>
    <w:sdtContent>
      <w:p w:rsidR="0012210E" w:rsidRDefault="00A35044">
        <w:pPr>
          <w:pStyle w:val="Pieddepage"/>
          <w:jc w:val="center"/>
        </w:pPr>
        <w:r>
          <w:fldChar w:fldCharType="begin"/>
        </w:r>
        <w:r>
          <w:instrText>PAGE   \* MERGEFORMAT</w:instrText>
        </w:r>
        <w:r>
          <w:fldChar w:fldCharType="separate"/>
        </w:r>
        <w:r w:rsidR="0012210E" w:rsidRPr="00156E11">
          <w:rPr>
            <w:noProof/>
            <w:rtl/>
            <w:lang w:val="ar-SA" w:bidi="ar-SA"/>
          </w:rPr>
          <w:t>3</w:t>
        </w:r>
        <w:r>
          <w:rPr>
            <w:noProof/>
            <w:lang w:val="ar-SA" w:bidi="ar-SA"/>
          </w:rPr>
          <w:fldChar w:fldCharType="end"/>
        </w:r>
      </w:p>
    </w:sdtContent>
  </w:sdt>
  <w:p w:rsidR="0012210E" w:rsidRDefault="0012210E">
    <w:pPr>
      <w:pStyle w:val="Pieddepage"/>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C57BE2" w:rsidRDefault="0012210E" w:rsidP="00C57BE2">
    <w:pPr>
      <w:pStyle w:val="Pieddepage"/>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86192465"/>
      <w:docPartObj>
        <w:docPartGallery w:val="Page Numbers (Bottom of Page)"/>
        <w:docPartUnique/>
      </w:docPartObj>
    </w:sdtPr>
    <w:sdtEndPr/>
    <w:sdtContent>
      <w:p w:rsidR="0012210E" w:rsidRDefault="00BB7C56">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62" o:spid="_x0000_s2054" type="#_x0000_t185" style="position:absolute;left:0;text-align:left;margin-left:210.2pt;margin-top:16.5pt;width:43.45pt;height:24.05pt;z-index:251691008;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noProof/>
                        <w:rtl/>
                        <w:lang w:val="ar-SA" w:bidi="ar-SA"/>
                      </w:rPr>
                      <w:t>88</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61" o:spid="_x0000_s2053" type="#_x0000_t32" style="position:absolute;left:0;text-align:left;margin-left:0;margin-top:0;width:434.5pt;height:0;z-index:25168998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" strokecolor="gray" strokeweight="1pt">
              <w10:wrap anchorx="margin" anchory="margin"/>
            </v:shape>
          </w:pic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8A5D2D" w:rsidRDefault="0012210E" w:rsidP="008A5D2D">
    <w:pPr>
      <w:pStyle w:val="Pieddepage"/>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8A5D2D" w:rsidRDefault="00BB7C56" w:rsidP="008A5D2D">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75" o:spid="_x0000_s2050" type="#_x0000_t185" style="position:absolute;left:0;text-align:left;margin-left:210.2pt;margin-top:15pt;width:43.45pt;height:25.55pt;z-index:251697152;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noProof/>
                    <w:rtl/>
                    <w:lang w:val="ar-SA" w:bidi="ar-SA"/>
                  </w:rPr>
                  <w:t>93</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74" o:spid="_x0000_s2049" type="#_x0000_t32" style="position:absolute;left:0;text-align:left;margin-left:0;margin-top:0;width:434.5pt;height:0;z-index:25169612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" strokecolor="gray" strokeweight="1pt">
          <w10:wrap anchorx="margin" anchory="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12210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48403316"/>
      <w:docPartObj>
        <w:docPartGallery w:val="Page Numbers (Bottom of Page)"/>
        <w:docPartUnique/>
      </w:docPartObj>
    </w:sdtPr>
    <w:sdtEndPr/>
    <w:sdtContent>
      <w:p w:rsidR="0012210E" w:rsidRDefault="00BB7C56">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8" o:spid="_x0000_s2070" type="#_x0000_t185" style="position:absolute;left:0;text-align:left;margin-left:204.3pt;margin-top:21.8pt;width:43.45pt;height:30.75pt;z-index:251663360;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rFonts w:hint="cs"/>
                        <w:noProof/>
                        <w:rtl/>
                        <w:lang w:val="ar-SA" w:bidi="ar-SA"/>
                      </w:rPr>
                      <w:t>‌د</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7" o:spid="_x0000_s2069" type="#_x0000_t32" style="position:absolute;left:0;text-align:left;margin-left:0;margin-top:0;width:434.5pt;height:0;z-index:251662336;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" strokecolor="gray" strokeweight="1pt">
              <w10:wrap anchorx="margin" anchory="margin"/>
            </v:shape>
          </w:pic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562CF7" w:rsidRDefault="0012210E" w:rsidP="00562CF7">
    <w:pPr>
      <w:pStyle w:val="Pieddepag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11908155"/>
      <w:docPartObj>
        <w:docPartGallery w:val="Page Numbers (Bottom of Page)"/>
        <w:docPartUnique/>
      </w:docPartObj>
    </w:sdtPr>
    <w:sdtEndPr/>
    <w:sdtContent>
      <w:p w:rsidR="0012210E" w:rsidRDefault="00BB7C56" w:rsidP="00562CF7">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22" o:spid="_x0000_s2066" type="#_x0000_t185" style="position:absolute;left:0;text-align:left;margin-left:204.3pt;margin-top:15.05pt;width:43.45pt;height:25.55pt;z-index:251669504;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noProof/>
                        <w:rtl/>
                        <w:lang w:val="ar-SA" w:bidi="ar-SA"/>
                      </w:rPr>
                      <w:t>34</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21" o:spid="_x0000_s2065" type="#_x0000_t32" style="position:absolute;left:0;text-align:left;margin-left:0;margin-top:0;width:434.5pt;height:0;z-index:251668480;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" strokecolor="gray" strokeweight="1pt">
              <w10:wrap anchorx="margin" anchory="margin"/>
            </v:shape>
          </w:pic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C57BE2" w:rsidRDefault="0012210E" w:rsidP="00C57BE2">
    <w:pPr>
      <w:pStyle w:val="Piedde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43165145"/>
      <w:docPartObj>
        <w:docPartGallery w:val="Page Numbers (Bottom of Page)"/>
        <w:docPartUnique/>
      </w:docPartObj>
    </w:sdtPr>
    <w:sdtEndPr/>
    <w:sdtContent>
      <w:p w:rsidR="0012210E" w:rsidRPr="00C57BE2" w:rsidRDefault="00BB7C56" w:rsidP="00C57BE2">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34" o:spid="_x0000_s2062" type="#_x0000_t185" style="position:absolute;left:0;text-align:left;margin-left:204.3pt;margin-top:15.05pt;width:43.45pt;height:25.55pt;z-index:251672576;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noProof/>
                        <w:rtl/>
                        <w:lang w:val="ar-SA" w:bidi="ar-SA"/>
                      </w:rPr>
                      <w:t>75</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33" o:spid="_x0000_s2061" type="#_x0000_t32" style="position:absolute;left:0;text-align:left;margin-left:0;margin-top:0;width:434.5pt;height:0;z-index:251671552;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" strokecolor="gray" strokeweight="1pt">
              <w10:wrap anchorx="margin" anchory="margin"/>
            </v:shape>
          </w:pic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C57BE2" w:rsidRDefault="0012210E" w:rsidP="00C57BE2">
    <w:pPr>
      <w:pStyle w:val="Pieddepag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29273379"/>
      <w:docPartObj>
        <w:docPartGallery w:val="Page Numbers (Bottom of Page)"/>
        <w:docPartUnique/>
      </w:docPartObj>
    </w:sdtPr>
    <w:sdtEndPr/>
    <w:sdtContent>
      <w:p w:rsidR="0012210E" w:rsidRPr="00C57BE2" w:rsidRDefault="00BB7C56" w:rsidP="00C57BE2">
        <w:pPr>
          <w:pStyle w:val="Pieddepage"/>
        </w:pPr>
        <w:r>
          <w:rPr>
            <w:noProof/>
            <w:lang w:val="en-US" w:bidi="ar-SA"/>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قوس متوسط مزدوج 48" o:spid="_x0000_s2058" type="#_x0000_t185" style="position:absolute;left:0;text-align:left;margin-left:204.3pt;margin-top:15.05pt;width:43.45pt;height:25.55pt;z-index:251681792;visibility:visible;mso-width-percent:100;mso-position-horizontal-relative:margin;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" filled="t" strokecolor="gray" strokeweight="2.25pt">
              <v:textbox inset=",0,,0">
                <w:txbxContent>
                  <w:p w:rsidR="0012210E" w:rsidRDefault="00A35044">
                    <w:pPr>
                      <w:jc w:val="center"/>
                    </w:pPr>
                    <w:r>
                      <w:fldChar w:fldCharType="begin"/>
                    </w:r>
                    <w:r>
                      <w:instrText>PAGE    \* MERGEFORMAT</w:instrText>
                    </w:r>
                    <w:r>
                      <w:fldChar w:fldCharType="separate"/>
                    </w:r>
                    <w:r w:rsidR="000C1635" w:rsidRPr="000C1635">
                      <w:rPr>
                        <w:noProof/>
                        <w:rtl/>
                        <w:lang w:val="ar-SA" w:bidi="ar-SA"/>
                      </w:rPr>
                      <w:t>79</w:t>
                    </w:r>
                    <w:r>
                      <w:rPr>
                        <w:noProof/>
                        <w:lang w:val="ar-SA" w:bidi="ar-SA"/>
                      </w:rPr>
                      <w:fldChar w:fldCharType="end"/>
                    </w:r>
                  </w:p>
                </w:txbxContent>
              </v:textbox>
              <w10:wrap anchorx="margin" anchory="margin"/>
            </v:shape>
          </w:pict>
        </w:r>
        <w:r>
          <w:rPr>
            <w:noProof/>
            <w:lang w:val="en-US" w:bidi="ar-SA"/>
          </w:rPr>
          <w:pict>
            <v:shapetype id="_x0000_t32" coordsize="21600,21600" o:spt="32" o:oned="t" path="m,l21600,21600e" filled="f">
              <v:path arrowok="t" fillok="f" o:connecttype="none"/>
              <o:lock v:ext="edit" shapetype="t"/>
            </v:shapetype>
            <v:shape id="رابط كسهم مستقيم 47" o:spid="_x0000_s2057" type="#_x0000_t32" style="position:absolute;left:0;text-align:left;margin-left:0;margin-top:0;width:434.5pt;height:0;z-index:25168076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" strokecolor="gray" strokeweight="1pt">
              <w10:wrap anchorx="margin" anchory="margin"/>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C56" w:rsidRDefault="00BB7C56" w:rsidP="004A2766">
      <w:pPr>
        <w:spacing w:after="0" w:line="240" w:lineRule="auto"/>
      </w:pPr>
      <w:r>
        <w:separator/>
      </w:r>
    </w:p>
  </w:footnote>
  <w:footnote w:type="continuationSeparator" w:id="0">
    <w:p w:rsidR="00BB7C56" w:rsidRDefault="00BB7C56" w:rsidP="004A2766">
      <w:pPr>
        <w:spacing w:after="0" w:line="240" w:lineRule="auto"/>
      </w:pPr>
      <w:r>
        <w:continuationSeparator/>
      </w:r>
    </w:p>
  </w:footnote>
  <w:footnote w:id="1">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محمد بن أحمد بن أزهري الهروي، تهذيب اللغة، دار إحياء التراث العربي، بيروت، ط1، 2001، ج4، ص142.</w:t>
      </w:r>
    </w:p>
  </w:footnote>
  <w:footnote w:id="2">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علي حيدر خواجة أمين أفندي، د</w:t>
      </w:r>
      <w:r w:rsidRPr="006629CF">
        <w:rPr>
          <w:rFonts w:hint="cs"/>
          <w:sz w:val="24"/>
          <w:szCs w:val="24"/>
          <w:rtl/>
        </w:rPr>
        <w:t>و</w:t>
      </w:r>
      <w:r w:rsidRPr="007D3139">
        <w:rPr>
          <w:rFonts w:hint="cs"/>
          <w:sz w:val="24"/>
          <w:szCs w:val="24"/>
          <w:rtl/>
        </w:rPr>
        <w:t>ر الحكام في شرح مجلة الأحكام، دار الجيل</w:t>
      </w:r>
      <w:r>
        <w:rPr>
          <w:rFonts w:hint="cs"/>
          <w:sz w:val="24"/>
          <w:szCs w:val="24"/>
          <w:rtl/>
        </w:rPr>
        <w:t>، بيروت</w:t>
      </w:r>
      <w:r w:rsidRPr="007D3139">
        <w:rPr>
          <w:rFonts w:hint="cs"/>
          <w:sz w:val="24"/>
          <w:szCs w:val="24"/>
          <w:rtl/>
        </w:rPr>
        <w:t>، ط1، 1991، ج4، ص574.</w:t>
      </w:r>
    </w:p>
  </w:footnote>
  <w:footnote w:id="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proofErr w:type="spellStart"/>
      <w:r w:rsidRPr="008529F6">
        <w:rPr>
          <w:rFonts w:hint="cs"/>
          <w:sz w:val="24"/>
          <w:szCs w:val="24"/>
          <w:rtl/>
        </w:rPr>
        <w:t>الدميري</w:t>
      </w:r>
      <w:proofErr w:type="spellEnd"/>
      <w:r w:rsidRPr="008529F6">
        <w:rPr>
          <w:rFonts w:hint="cs"/>
          <w:sz w:val="24"/>
          <w:szCs w:val="24"/>
          <w:rtl/>
        </w:rPr>
        <w:t xml:space="preserve"> بهرام</w:t>
      </w:r>
      <w:r w:rsidRPr="007D3139">
        <w:rPr>
          <w:rFonts w:hint="cs"/>
          <w:sz w:val="24"/>
          <w:szCs w:val="24"/>
          <w:rtl/>
        </w:rPr>
        <w:t xml:space="preserve">، الشامل في فقه الإمام مالك، مركز </w:t>
      </w:r>
      <w:proofErr w:type="spellStart"/>
      <w:r w:rsidRPr="007D3139">
        <w:rPr>
          <w:rFonts w:hint="cs"/>
          <w:sz w:val="24"/>
          <w:szCs w:val="24"/>
          <w:rtl/>
        </w:rPr>
        <w:t>نجيوبة</w:t>
      </w:r>
      <w:proofErr w:type="spellEnd"/>
      <w:r w:rsidRPr="007D3139">
        <w:rPr>
          <w:rFonts w:hint="cs"/>
          <w:sz w:val="24"/>
          <w:szCs w:val="24"/>
          <w:rtl/>
        </w:rPr>
        <w:t xml:space="preserve"> للمخطوطات وخدمة </w:t>
      </w:r>
      <w:proofErr w:type="spellStart"/>
      <w:r w:rsidRPr="007D3139">
        <w:rPr>
          <w:rFonts w:hint="cs"/>
          <w:sz w:val="24"/>
          <w:szCs w:val="24"/>
          <w:rtl/>
        </w:rPr>
        <w:t>التراث،</w:t>
      </w:r>
      <w:r>
        <w:rPr>
          <w:rFonts w:hint="cs"/>
          <w:sz w:val="24"/>
          <w:szCs w:val="24"/>
          <w:rtl/>
        </w:rPr>
        <w:t>د.م</w:t>
      </w:r>
      <w:proofErr w:type="spellEnd"/>
      <w:r>
        <w:rPr>
          <w:rFonts w:hint="cs"/>
          <w:sz w:val="24"/>
          <w:szCs w:val="24"/>
          <w:rtl/>
        </w:rPr>
        <w:t>،</w:t>
      </w:r>
      <w:r w:rsidRPr="007D3139">
        <w:rPr>
          <w:rFonts w:hint="cs"/>
          <w:sz w:val="24"/>
          <w:szCs w:val="24"/>
          <w:rtl/>
        </w:rPr>
        <w:t xml:space="preserve"> ط1، 2008، ج1، ص670.</w:t>
      </w:r>
    </w:p>
  </w:footnote>
  <w:footnote w:id="4">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النووي، روضة الطالبين وعمدة المفتين، المكتب الإسلامي، بيروت، دمشق، عمان، ط3، 1991، ج4، ص193.</w:t>
      </w:r>
    </w:p>
  </w:footnote>
  <w:footnote w:id="5">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proofErr w:type="spellStart"/>
      <w:r w:rsidRPr="007D3139">
        <w:rPr>
          <w:rFonts w:hint="cs"/>
          <w:sz w:val="24"/>
          <w:szCs w:val="24"/>
          <w:rtl/>
        </w:rPr>
        <w:t>زكرياء</w:t>
      </w:r>
      <w:proofErr w:type="spellEnd"/>
      <w:r w:rsidRPr="007D3139">
        <w:rPr>
          <w:rFonts w:hint="cs"/>
          <w:sz w:val="24"/>
          <w:szCs w:val="24"/>
          <w:rtl/>
        </w:rPr>
        <w:t xml:space="preserve"> بن محمد، الغ</w:t>
      </w:r>
      <w:r>
        <w:rPr>
          <w:rFonts w:hint="cs"/>
          <w:sz w:val="24"/>
          <w:szCs w:val="24"/>
          <w:rtl/>
        </w:rPr>
        <w:t>ر</w:t>
      </w:r>
      <w:r w:rsidRPr="007D3139">
        <w:rPr>
          <w:rFonts w:hint="cs"/>
          <w:sz w:val="24"/>
          <w:szCs w:val="24"/>
          <w:rtl/>
        </w:rPr>
        <w:t xml:space="preserve">ر البهية في شرح البهجة الوردية، المطبعة </w:t>
      </w:r>
      <w:proofErr w:type="spellStart"/>
      <w:r w:rsidRPr="007D3139">
        <w:rPr>
          <w:rFonts w:hint="cs"/>
          <w:sz w:val="24"/>
          <w:szCs w:val="24"/>
          <w:rtl/>
        </w:rPr>
        <w:t>الميمنية</w:t>
      </w:r>
      <w:proofErr w:type="spellEnd"/>
      <w:r>
        <w:rPr>
          <w:rFonts w:hint="cs"/>
          <w:sz w:val="24"/>
          <w:szCs w:val="24"/>
          <w:rtl/>
        </w:rPr>
        <w:t xml:space="preserve">، مصر، </w:t>
      </w:r>
      <w:proofErr w:type="spellStart"/>
      <w:r>
        <w:rPr>
          <w:rFonts w:hint="cs"/>
          <w:sz w:val="24"/>
          <w:szCs w:val="24"/>
          <w:rtl/>
        </w:rPr>
        <w:t>د.م</w:t>
      </w:r>
      <w:proofErr w:type="spellEnd"/>
      <w:r w:rsidRPr="007D3139">
        <w:rPr>
          <w:rFonts w:hint="cs"/>
          <w:sz w:val="24"/>
          <w:szCs w:val="24"/>
          <w:rtl/>
        </w:rPr>
        <w:t xml:space="preserve">، </w:t>
      </w:r>
      <w:proofErr w:type="spellStart"/>
      <w:r w:rsidRPr="007D3139">
        <w:rPr>
          <w:rFonts w:hint="cs"/>
          <w:sz w:val="24"/>
          <w:szCs w:val="24"/>
          <w:rtl/>
        </w:rPr>
        <w:t>د.ط</w:t>
      </w:r>
      <w:proofErr w:type="spellEnd"/>
      <w:r w:rsidRPr="007D3139">
        <w:rPr>
          <w:rFonts w:hint="cs"/>
          <w:sz w:val="24"/>
          <w:szCs w:val="24"/>
          <w:rtl/>
        </w:rPr>
        <w:t>، د.ت، ج3، ص130.</w:t>
      </w:r>
    </w:p>
  </w:footnote>
  <w:footnote w:id="6">
    <w:p w:rsidR="0012210E" w:rsidRPr="0012210E" w:rsidRDefault="0012210E">
      <w:pPr>
        <w:pStyle w:val="Notedebasdepage"/>
        <w:rPr>
          <w:sz w:val="24"/>
          <w:szCs w:val="24"/>
          <w:rtl/>
        </w:rPr>
      </w:pPr>
      <w:r w:rsidRPr="0012210E">
        <w:rPr>
          <w:rStyle w:val="Appelnotedebasdep"/>
          <w:sz w:val="24"/>
          <w:szCs w:val="24"/>
        </w:rPr>
        <w:footnoteRef/>
      </w:r>
      <w:r w:rsidRPr="0012210E">
        <w:rPr>
          <w:sz w:val="24"/>
          <w:szCs w:val="24"/>
          <w:rtl/>
        </w:rPr>
        <w:t xml:space="preserve"> </w:t>
      </w:r>
      <w:r w:rsidRPr="0012210E">
        <w:rPr>
          <w:sz w:val="24"/>
          <w:szCs w:val="24"/>
        </w:rPr>
        <w:t xml:space="preserve">- </w:t>
      </w:r>
      <w:r w:rsidRPr="0012210E">
        <w:rPr>
          <w:rFonts w:hint="cs"/>
          <w:sz w:val="24"/>
          <w:szCs w:val="24"/>
          <w:rtl/>
        </w:rPr>
        <w:t xml:space="preserve">علاء الدين أبو الحسن علي بن سليمان </w:t>
      </w:r>
      <w:proofErr w:type="spellStart"/>
      <w:r w:rsidRPr="0012210E">
        <w:rPr>
          <w:rFonts w:hint="cs"/>
          <w:sz w:val="24"/>
          <w:szCs w:val="24"/>
          <w:rtl/>
        </w:rPr>
        <w:t>الحرداوي</w:t>
      </w:r>
      <w:proofErr w:type="spellEnd"/>
      <w:r w:rsidRPr="0012210E">
        <w:rPr>
          <w:rFonts w:hint="cs"/>
          <w:sz w:val="24"/>
          <w:szCs w:val="24"/>
          <w:rtl/>
        </w:rPr>
        <w:t xml:space="preserve"> الدمشقي الصالحي الحنبلي، </w:t>
      </w:r>
      <w:proofErr w:type="spellStart"/>
      <w:r w:rsidRPr="0012210E">
        <w:rPr>
          <w:rFonts w:hint="cs"/>
          <w:sz w:val="24"/>
          <w:szCs w:val="24"/>
          <w:rtl/>
        </w:rPr>
        <w:t>الإنعصاف</w:t>
      </w:r>
      <w:proofErr w:type="spellEnd"/>
      <w:r w:rsidRPr="0012210E">
        <w:rPr>
          <w:rFonts w:hint="cs"/>
          <w:sz w:val="24"/>
          <w:szCs w:val="24"/>
          <w:rtl/>
        </w:rPr>
        <w:t xml:space="preserve"> في معرفة الراجح من الخلاف، دار إحياء التراث العربي، بيروت، ط3، د.ت، ج5، ص 234.</w:t>
      </w:r>
    </w:p>
  </w:footnote>
  <w:footnote w:id="7">
    <w:p w:rsidR="0012210E" w:rsidRPr="007D3139" w:rsidRDefault="0012210E" w:rsidP="00C57BE2">
      <w:pPr>
        <w:pStyle w:val="Notedebasdepage"/>
        <w:jc w:val="both"/>
        <w:rPr>
          <w:sz w:val="24"/>
          <w:szCs w:val="24"/>
          <w:rtl/>
        </w:rPr>
      </w:pPr>
      <w:r w:rsidRPr="007D3139">
        <w:rPr>
          <w:rStyle w:val="Appelnotedebasdep"/>
          <w:sz w:val="24"/>
          <w:szCs w:val="24"/>
        </w:rPr>
        <w:footnoteRef/>
      </w:r>
      <w:r>
        <w:rPr>
          <w:rFonts w:hint="cs"/>
          <w:sz w:val="24"/>
          <w:szCs w:val="24"/>
          <w:rtl/>
        </w:rPr>
        <w:t xml:space="preserve">- </w:t>
      </w:r>
      <w:r w:rsidRPr="00F81582">
        <w:rPr>
          <w:sz w:val="24"/>
          <w:szCs w:val="24"/>
          <w:rtl/>
        </w:rPr>
        <w:t>القانون رقم 05/10 المؤرخ في 20 يونيو 2005 يعدل ويتمم الأمر رقم 75-58 المؤرخ في 20 رمضان عام 1350 الموافق ل26 سبتمبر سنة 1975 المتضمن القانون المدني المعدل والمتمم</w:t>
      </w:r>
      <w:r>
        <w:rPr>
          <w:rFonts w:hint="cs"/>
          <w:sz w:val="24"/>
          <w:szCs w:val="24"/>
          <w:rtl/>
        </w:rPr>
        <w:t>، الجريدة الرسمية العدد 44 المؤرخ في 26 يونيو 2005، ص17.</w:t>
      </w:r>
    </w:p>
  </w:footnote>
  <w:footnote w:id="8">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سورة النساء، الآية 128.</w:t>
      </w:r>
    </w:p>
  </w:footnote>
  <w:footnote w:id="9">
    <w:p w:rsidR="0012210E" w:rsidRPr="007D3CFD" w:rsidRDefault="0012210E" w:rsidP="0012210E">
      <w:pPr>
        <w:pStyle w:val="Notedebasdepage"/>
        <w:jc w:val="both"/>
        <w:rPr>
          <w:sz w:val="24"/>
          <w:szCs w:val="24"/>
        </w:rPr>
      </w:pPr>
      <w:r w:rsidRPr="007D3CFD">
        <w:rPr>
          <w:rStyle w:val="Appelnotedebasdep"/>
          <w:sz w:val="24"/>
          <w:szCs w:val="24"/>
        </w:rPr>
        <w:footnoteRef/>
      </w:r>
      <w:r>
        <w:rPr>
          <w:rFonts w:hint="cs"/>
          <w:sz w:val="24"/>
          <w:szCs w:val="24"/>
          <w:rtl/>
        </w:rPr>
        <w:t>-</w:t>
      </w:r>
      <w:r w:rsidRPr="007D3CFD">
        <w:rPr>
          <w:rFonts w:hint="cs"/>
          <w:sz w:val="24"/>
          <w:szCs w:val="24"/>
          <w:rtl/>
        </w:rPr>
        <w:t xml:space="preserve"> الراغب، تفسير الراغب الأصفهاني، كلية الدعوى وأصول الدين، جامعة أم القرى، ط1، 2001م، ج4، ص108.</w:t>
      </w:r>
    </w:p>
  </w:footnote>
  <w:footnote w:id="10">
    <w:p w:rsidR="0012210E" w:rsidRPr="007D3139" w:rsidRDefault="0012210E" w:rsidP="00C57BE2">
      <w:pPr>
        <w:pStyle w:val="Notedebasdepage"/>
        <w:jc w:val="both"/>
        <w:rPr>
          <w:sz w:val="24"/>
          <w:szCs w:val="24"/>
        </w:rPr>
      </w:pPr>
      <w:r w:rsidRPr="007D3139">
        <w:rPr>
          <w:rStyle w:val="Appelnotedebasdep"/>
          <w:sz w:val="24"/>
          <w:szCs w:val="24"/>
        </w:rPr>
        <w:footnoteRef/>
      </w:r>
      <w:r w:rsidRPr="007D3139">
        <w:rPr>
          <w:rFonts w:hint="cs"/>
          <w:sz w:val="24"/>
          <w:szCs w:val="24"/>
          <w:rtl/>
        </w:rPr>
        <w:t>- سورة النساء، الآية 114.</w:t>
      </w:r>
    </w:p>
  </w:footnote>
  <w:footnote w:id="11">
    <w:p w:rsidR="0012210E" w:rsidRPr="00EE5372" w:rsidRDefault="0012210E" w:rsidP="00C57BE2">
      <w:pPr>
        <w:pStyle w:val="Notedebasdepage"/>
        <w:jc w:val="both"/>
        <w:rPr>
          <w:sz w:val="24"/>
          <w:szCs w:val="24"/>
        </w:rPr>
      </w:pPr>
      <w:r w:rsidRPr="00EE5372">
        <w:rPr>
          <w:rStyle w:val="Appelnotedebasdep"/>
          <w:sz w:val="24"/>
          <w:szCs w:val="24"/>
        </w:rPr>
        <w:footnoteRef/>
      </w:r>
      <w:r w:rsidRPr="00EE5372">
        <w:rPr>
          <w:rFonts w:hint="cs"/>
          <w:sz w:val="24"/>
          <w:szCs w:val="24"/>
          <w:rtl/>
        </w:rPr>
        <w:t>- لجنة من أساتذة التفسير، التفسير الميسر، مجمع الملك فهد لطباعة المصحف الشريف، السعودية، ط2، 2009م، ج1، ص97.</w:t>
      </w:r>
    </w:p>
  </w:footnote>
  <w:footnote w:id="12">
    <w:p w:rsidR="0012210E" w:rsidRPr="00CB2411" w:rsidRDefault="0012210E" w:rsidP="00C57BE2">
      <w:pPr>
        <w:pStyle w:val="Notedebasdepage"/>
        <w:jc w:val="both"/>
        <w:rPr>
          <w:sz w:val="24"/>
          <w:szCs w:val="24"/>
        </w:rPr>
      </w:pPr>
      <w:r w:rsidRPr="00CB2411">
        <w:rPr>
          <w:rStyle w:val="Appelnotedebasdep"/>
          <w:sz w:val="24"/>
          <w:szCs w:val="24"/>
        </w:rPr>
        <w:footnoteRef/>
      </w:r>
      <w:r w:rsidRPr="00CB2411">
        <w:rPr>
          <w:rFonts w:hint="cs"/>
          <w:sz w:val="24"/>
          <w:szCs w:val="24"/>
          <w:rtl/>
        </w:rPr>
        <w:t xml:space="preserve">- أخرجه </w:t>
      </w:r>
      <w:proofErr w:type="spellStart"/>
      <w:r w:rsidRPr="00CB2411">
        <w:rPr>
          <w:rFonts w:hint="cs"/>
          <w:sz w:val="24"/>
          <w:szCs w:val="24"/>
          <w:rtl/>
        </w:rPr>
        <w:t>الترميذي</w:t>
      </w:r>
      <w:proofErr w:type="spellEnd"/>
      <w:r w:rsidRPr="00CB2411">
        <w:rPr>
          <w:rFonts w:hint="cs"/>
          <w:sz w:val="24"/>
          <w:szCs w:val="24"/>
          <w:rtl/>
        </w:rPr>
        <w:t xml:space="preserve"> (1352) في الأحكام، باب ما ذكر عن رسول الله صلى الله عليه وسلم في الصلح بين الناس.</w:t>
      </w:r>
    </w:p>
  </w:footnote>
  <w:footnote w:id="1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محمد بن إبراهيم ابن عبد اللطيف آل شيخ، فتاوى ورسائل </w:t>
      </w:r>
      <w:r>
        <w:rPr>
          <w:rFonts w:hint="cs"/>
          <w:sz w:val="24"/>
          <w:szCs w:val="24"/>
          <w:rtl/>
        </w:rPr>
        <w:t>سماحة</w:t>
      </w:r>
      <w:r w:rsidRPr="007D3139">
        <w:rPr>
          <w:rFonts w:hint="cs"/>
          <w:sz w:val="24"/>
          <w:szCs w:val="24"/>
          <w:rtl/>
        </w:rPr>
        <w:t xml:space="preserve"> الشيخ محمد بن إبراهيم بن عبد اللطيف آل شيخ، مطبعة الحكومة، مكة المكرمة، ط1، 1399ه، ج12، ص292.</w:t>
      </w:r>
    </w:p>
  </w:footnote>
  <w:footnote w:id="14">
    <w:p w:rsidR="0012210E" w:rsidRPr="006629CF" w:rsidRDefault="0012210E" w:rsidP="00C57BE2">
      <w:pPr>
        <w:pStyle w:val="Notedebasdepage"/>
        <w:jc w:val="both"/>
        <w:rPr>
          <w:sz w:val="24"/>
          <w:szCs w:val="24"/>
        </w:rPr>
      </w:pPr>
      <w:r w:rsidRPr="006629CF">
        <w:rPr>
          <w:rStyle w:val="Appelnotedebasdep"/>
          <w:sz w:val="24"/>
          <w:szCs w:val="24"/>
        </w:rPr>
        <w:footnoteRef/>
      </w:r>
      <w:r w:rsidRPr="006629CF">
        <w:rPr>
          <w:rFonts w:hint="cs"/>
          <w:sz w:val="24"/>
          <w:szCs w:val="24"/>
          <w:rtl/>
        </w:rPr>
        <w:t>- أخرجه أبو داوود في السنن (05/218)، كتاب الأدب (35)، باب في إصلاح ذات البين (58)، الحديث (4919).</w:t>
      </w:r>
    </w:p>
  </w:footnote>
  <w:footnote w:id="15">
    <w:p w:rsidR="0012210E" w:rsidRPr="006629CF" w:rsidRDefault="0012210E" w:rsidP="00C57BE2">
      <w:pPr>
        <w:pStyle w:val="Notedebasdepage"/>
        <w:jc w:val="both"/>
        <w:rPr>
          <w:sz w:val="24"/>
          <w:szCs w:val="24"/>
        </w:rPr>
      </w:pPr>
      <w:r w:rsidRPr="006629CF">
        <w:rPr>
          <w:rStyle w:val="Appelnotedebasdep"/>
          <w:sz w:val="24"/>
          <w:szCs w:val="24"/>
        </w:rPr>
        <w:footnoteRef/>
      </w:r>
      <w:r w:rsidRPr="006629CF">
        <w:rPr>
          <w:rFonts w:hint="cs"/>
          <w:sz w:val="24"/>
          <w:szCs w:val="24"/>
          <w:rtl/>
        </w:rPr>
        <w:t>- مصنف بن ابي شيبة (4/534)</w:t>
      </w:r>
    </w:p>
  </w:footnote>
  <w:footnote w:id="16">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r w:rsidRPr="00565EA6">
        <w:rPr>
          <w:rFonts w:hint="cs"/>
          <w:sz w:val="24"/>
          <w:szCs w:val="24"/>
          <w:rtl/>
        </w:rPr>
        <w:t>ابن رشد</w:t>
      </w:r>
      <w:r w:rsidRPr="007D3139">
        <w:rPr>
          <w:rFonts w:hint="cs"/>
          <w:sz w:val="24"/>
          <w:szCs w:val="24"/>
          <w:rtl/>
        </w:rPr>
        <w:t>، بداية المجتهد ونهاية المقتصد، دار المعرفة، بيروت، ط6، 1982، ج2، ص293.</w:t>
      </w:r>
    </w:p>
  </w:footnote>
  <w:footnote w:id="17">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عبد الرزاق السنهوري، الوسيط في شرح القانون المدني، دار إحياء التراث العربي، بيروت، </w:t>
      </w:r>
      <w:proofErr w:type="spellStart"/>
      <w:r w:rsidRPr="007D3139">
        <w:rPr>
          <w:rFonts w:hint="cs"/>
          <w:sz w:val="24"/>
          <w:szCs w:val="24"/>
          <w:rtl/>
        </w:rPr>
        <w:t>د.ط</w:t>
      </w:r>
      <w:proofErr w:type="spellEnd"/>
      <w:r w:rsidRPr="007D3139">
        <w:rPr>
          <w:rFonts w:hint="cs"/>
          <w:sz w:val="24"/>
          <w:szCs w:val="24"/>
          <w:rtl/>
        </w:rPr>
        <w:t xml:space="preserve">، د.ت، ج5، </w:t>
      </w:r>
      <w:r>
        <w:rPr>
          <w:rFonts w:hint="cs"/>
          <w:sz w:val="24"/>
          <w:szCs w:val="24"/>
          <w:rtl/>
        </w:rPr>
        <w:t>ص</w:t>
      </w:r>
      <w:r w:rsidRPr="007D3139">
        <w:rPr>
          <w:rFonts w:hint="cs"/>
          <w:sz w:val="24"/>
          <w:szCs w:val="24"/>
          <w:rtl/>
        </w:rPr>
        <w:t>508-511.</w:t>
      </w:r>
    </w:p>
  </w:footnote>
  <w:footnote w:id="18">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ابن </w:t>
      </w:r>
      <w:proofErr w:type="spellStart"/>
      <w:r w:rsidRPr="007D3139">
        <w:rPr>
          <w:rFonts w:hint="cs"/>
          <w:sz w:val="24"/>
          <w:szCs w:val="24"/>
          <w:rtl/>
        </w:rPr>
        <w:t>صاولة</w:t>
      </w:r>
      <w:proofErr w:type="spellEnd"/>
      <w:r w:rsidRPr="007D3139">
        <w:rPr>
          <w:rFonts w:hint="cs"/>
          <w:sz w:val="24"/>
          <w:szCs w:val="24"/>
          <w:rtl/>
        </w:rPr>
        <w:t xml:space="preserve"> شفيقة، الصلح في المادة الإدارية، دار هومة، الجزائر، ط1، 2016، ص46.</w:t>
      </w:r>
    </w:p>
  </w:footnote>
  <w:footnote w:id="19">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القانون رقم 08-09 المؤرخ في 18 صفر 1429هـ الموافق لــ25 فبراير 2008 يتضمن قا</w:t>
      </w:r>
      <w:r>
        <w:rPr>
          <w:rFonts w:hint="cs"/>
          <w:sz w:val="24"/>
          <w:szCs w:val="24"/>
          <w:rtl/>
        </w:rPr>
        <w:t xml:space="preserve">نون الإجراءات المدنية والإدارية، الجريدة الرسمية العدد 21 في 17 ربيع الثاني عام 1924ه الموافق ل 23 </w:t>
      </w:r>
      <w:proofErr w:type="spellStart"/>
      <w:r>
        <w:rPr>
          <w:rFonts w:hint="cs"/>
          <w:sz w:val="24"/>
          <w:szCs w:val="24"/>
          <w:rtl/>
        </w:rPr>
        <w:t>أفريل</w:t>
      </w:r>
      <w:proofErr w:type="spellEnd"/>
      <w:r>
        <w:rPr>
          <w:rFonts w:hint="cs"/>
          <w:sz w:val="24"/>
          <w:szCs w:val="24"/>
          <w:rtl/>
        </w:rPr>
        <w:t xml:space="preserve"> سنة 2008، ص20.</w:t>
      </w:r>
    </w:p>
  </w:footnote>
  <w:footnote w:id="20">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برابرة عبد الرحمان، شرح قانون الإجراءات المدنية والإدارية، منشورات بغدادي، الجزائر، ط2، 2009، ص</w:t>
      </w:r>
      <w:r>
        <w:rPr>
          <w:rFonts w:hint="cs"/>
          <w:sz w:val="24"/>
          <w:szCs w:val="24"/>
          <w:rtl/>
        </w:rPr>
        <w:t xml:space="preserve"> ص</w:t>
      </w:r>
      <w:r w:rsidRPr="007D3139">
        <w:rPr>
          <w:rFonts w:hint="cs"/>
          <w:sz w:val="24"/>
          <w:szCs w:val="24"/>
          <w:rtl/>
        </w:rPr>
        <w:t>529-530.</w:t>
      </w:r>
    </w:p>
  </w:footnote>
  <w:footnote w:id="21">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سيد سابق، فقه السنة، دار الكتاب العربي، بيروت، ط5، 1983، ص305.</w:t>
      </w:r>
    </w:p>
  </w:footnote>
  <w:footnote w:id="22">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proofErr w:type="spellStart"/>
      <w:r w:rsidRPr="007D3139">
        <w:rPr>
          <w:rFonts w:hint="cs"/>
          <w:sz w:val="24"/>
          <w:szCs w:val="24"/>
          <w:rtl/>
        </w:rPr>
        <w:t>الكاساني</w:t>
      </w:r>
      <w:proofErr w:type="spellEnd"/>
      <w:r w:rsidRPr="007D3139">
        <w:rPr>
          <w:rFonts w:hint="cs"/>
          <w:sz w:val="24"/>
          <w:szCs w:val="24"/>
          <w:rtl/>
        </w:rPr>
        <w:t xml:space="preserve">، بدائع الصنائع، دار الكتاب العربي، بيروت، </w:t>
      </w:r>
      <w:proofErr w:type="spellStart"/>
      <w:r w:rsidRPr="007D3139">
        <w:rPr>
          <w:rFonts w:hint="cs"/>
          <w:sz w:val="24"/>
          <w:szCs w:val="24"/>
          <w:rtl/>
        </w:rPr>
        <w:t>د.ط</w:t>
      </w:r>
      <w:proofErr w:type="spellEnd"/>
      <w:r w:rsidRPr="007D3139">
        <w:rPr>
          <w:rFonts w:hint="cs"/>
          <w:sz w:val="24"/>
          <w:szCs w:val="24"/>
          <w:rtl/>
        </w:rPr>
        <w:t>، 1982، ج6، ص42.</w:t>
      </w:r>
    </w:p>
  </w:footnote>
  <w:footnote w:id="2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proofErr w:type="spellStart"/>
      <w:r w:rsidRPr="007D3139">
        <w:rPr>
          <w:rFonts w:hint="cs"/>
          <w:sz w:val="24"/>
          <w:szCs w:val="24"/>
          <w:rtl/>
        </w:rPr>
        <w:t>الكاساني</w:t>
      </w:r>
      <w:proofErr w:type="spellEnd"/>
      <w:r w:rsidRPr="007D3139">
        <w:rPr>
          <w:rFonts w:hint="cs"/>
          <w:sz w:val="24"/>
          <w:szCs w:val="24"/>
          <w:rtl/>
        </w:rPr>
        <w:t xml:space="preserve">، المرجع </w:t>
      </w:r>
      <w:r>
        <w:rPr>
          <w:rFonts w:hint="cs"/>
          <w:sz w:val="24"/>
          <w:szCs w:val="24"/>
          <w:rtl/>
        </w:rPr>
        <w:t>نفسه</w:t>
      </w:r>
      <w:r w:rsidRPr="007D3139">
        <w:rPr>
          <w:rFonts w:hint="cs"/>
          <w:sz w:val="24"/>
          <w:szCs w:val="24"/>
          <w:rtl/>
        </w:rPr>
        <w:t>، ص468-469.</w:t>
      </w:r>
    </w:p>
  </w:footnote>
  <w:footnote w:id="24">
    <w:p w:rsidR="0012210E" w:rsidRPr="00DB06A7" w:rsidRDefault="0012210E" w:rsidP="00C57BE2">
      <w:pPr>
        <w:pStyle w:val="Notedebasdepage"/>
        <w:jc w:val="both"/>
        <w:rPr>
          <w:sz w:val="24"/>
          <w:szCs w:val="24"/>
        </w:rPr>
      </w:pPr>
      <w:r w:rsidRPr="00DB06A7">
        <w:rPr>
          <w:rStyle w:val="Appelnotedebasdep"/>
          <w:sz w:val="24"/>
          <w:szCs w:val="24"/>
        </w:rPr>
        <w:footnoteRef/>
      </w:r>
      <w:r w:rsidRPr="00DB06A7">
        <w:rPr>
          <w:rFonts w:hint="cs"/>
          <w:sz w:val="24"/>
          <w:szCs w:val="24"/>
          <w:rtl/>
        </w:rPr>
        <w:t xml:space="preserve">- المولى، دور الحكام شرح غدر الأحكام، دار إحياء الكتب العربية، </w:t>
      </w:r>
      <w:proofErr w:type="spellStart"/>
      <w:r w:rsidRPr="00DB06A7">
        <w:rPr>
          <w:rFonts w:hint="cs"/>
          <w:sz w:val="24"/>
          <w:szCs w:val="24"/>
          <w:rtl/>
        </w:rPr>
        <w:t>د.م</w:t>
      </w:r>
      <w:proofErr w:type="spellEnd"/>
      <w:r w:rsidRPr="00DB06A7">
        <w:rPr>
          <w:rFonts w:hint="cs"/>
          <w:sz w:val="24"/>
          <w:szCs w:val="24"/>
          <w:rtl/>
        </w:rPr>
        <w:t xml:space="preserve">، </w:t>
      </w:r>
      <w:proofErr w:type="spellStart"/>
      <w:r w:rsidRPr="00DB06A7">
        <w:rPr>
          <w:rFonts w:hint="cs"/>
          <w:sz w:val="24"/>
          <w:szCs w:val="24"/>
          <w:rtl/>
        </w:rPr>
        <w:t>د.ط</w:t>
      </w:r>
      <w:proofErr w:type="spellEnd"/>
      <w:r w:rsidRPr="00DB06A7">
        <w:rPr>
          <w:rFonts w:hint="cs"/>
          <w:sz w:val="24"/>
          <w:szCs w:val="24"/>
          <w:rtl/>
        </w:rPr>
        <w:t>، د ت، ص395.</w:t>
      </w:r>
    </w:p>
  </w:footnote>
  <w:footnote w:id="25">
    <w:p w:rsidR="0012210E" w:rsidRPr="00DB06A7" w:rsidRDefault="0012210E" w:rsidP="00C57BE2">
      <w:pPr>
        <w:pStyle w:val="Notedebasdepage"/>
        <w:jc w:val="both"/>
        <w:rPr>
          <w:sz w:val="22"/>
          <w:szCs w:val="22"/>
        </w:rPr>
      </w:pPr>
      <w:r w:rsidRPr="00DB06A7">
        <w:rPr>
          <w:rStyle w:val="Appelnotedebasdep"/>
          <w:sz w:val="24"/>
          <w:szCs w:val="24"/>
        </w:rPr>
        <w:footnoteRef/>
      </w:r>
      <w:r w:rsidRPr="00DB06A7">
        <w:rPr>
          <w:rFonts w:hint="cs"/>
          <w:sz w:val="24"/>
          <w:szCs w:val="24"/>
          <w:rtl/>
        </w:rPr>
        <w:t>- مصطفى الخن وآخرون، الفقه المنهجي على مذهب الإمام الشافعي رحمه الله، دار القلم، دمشق، ط4، 1992م، ج6، ص177.</w:t>
      </w:r>
    </w:p>
  </w:footnote>
  <w:footnote w:id="26">
    <w:p w:rsidR="0012210E" w:rsidRPr="00DB06A7" w:rsidRDefault="0012210E" w:rsidP="00C57BE2">
      <w:pPr>
        <w:pStyle w:val="Notedebasdepage"/>
        <w:jc w:val="both"/>
        <w:rPr>
          <w:sz w:val="24"/>
          <w:szCs w:val="24"/>
        </w:rPr>
      </w:pPr>
      <w:r w:rsidRPr="00DB06A7">
        <w:rPr>
          <w:rStyle w:val="Appelnotedebasdep"/>
          <w:sz w:val="24"/>
          <w:szCs w:val="24"/>
        </w:rPr>
        <w:footnoteRef/>
      </w:r>
      <w:r>
        <w:rPr>
          <w:rFonts w:hint="cs"/>
          <w:sz w:val="24"/>
          <w:szCs w:val="24"/>
          <w:rtl/>
        </w:rPr>
        <w:t>- وزارة الأوقاف والشؤون الإسلامية الكويتية، الموسوعة الفقهية الكويتية، مطابع دار الصفوة، مصر، ط1، د.ت، ج27، ص346.</w:t>
      </w:r>
    </w:p>
  </w:footnote>
  <w:footnote w:id="27">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قانون رقم 84-11 المؤرخ في 09 رمضان 1404هـ الموافق لــ09 يونيو 1984 المت</w:t>
      </w:r>
      <w:r>
        <w:rPr>
          <w:rFonts w:hint="cs"/>
          <w:sz w:val="24"/>
          <w:szCs w:val="24"/>
          <w:rtl/>
        </w:rPr>
        <w:t>ضمن قانون الأسرة المعدل والمتمم.</w:t>
      </w:r>
    </w:p>
  </w:footnote>
  <w:footnote w:id="28">
    <w:p w:rsidR="0012210E" w:rsidRPr="003B7D83" w:rsidRDefault="0012210E" w:rsidP="00C57BE2">
      <w:pPr>
        <w:pStyle w:val="Notedebasdepage"/>
        <w:jc w:val="both"/>
        <w:rPr>
          <w:sz w:val="24"/>
          <w:szCs w:val="24"/>
        </w:rPr>
      </w:pPr>
      <w:r w:rsidRPr="003B7D83">
        <w:rPr>
          <w:rStyle w:val="Appelnotedebasdep"/>
          <w:sz w:val="24"/>
          <w:szCs w:val="24"/>
        </w:rPr>
        <w:footnoteRef/>
      </w:r>
      <w:r w:rsidRPr="003B7D83">
        <w:rPr>
          <w:rFonts w:hint="cs"/>
          <w:sz w:val="24"/>
          <w:szCs w:val="24"/>
          <w:rtl/>
        </w:rPr>
        <w:t xml:space="preserve">- عبد الكريم بن محمد الرافعي القزويني، فتح العزيز بشرح الوجيز، دار الفكر، دمشق، </w:t>
      </w:r>
      <w:proofErr w:type="spellStart"/>
      <w:r w:rsidRPr="003B7D83">
        <w:rPr>
          <w:rFonts w:hint="cs"/>
          <w:sz w:val="24"/>
          <w:szCs w:val="24"/>
          <w:rtl/>
        </w:rPr>
        <w:t>د.ط</w:t>
      </w:r>
      <w:proofErr w:type="spellEnd"/>
      <w:r w:rsidRPr="003B7D83">
        <w:rPr>
          <w:rFonts w:hint="cs"/>
          <w:sz w:val="24"/>
          <w:szCs w:val="24"/>
          <w:rtl/>
        </w:rPr>
        <w:t>، د.ت، ج10، ص296.</w:t>
      </w:r>
    </w:p>
  </w:footnote>
  <w:footnote w:id="29">
    <w:p w:rsidR="0012210E" w:rsidRPr="007D3139" w:rsidRDefault="0012210E" w:rsidP="00C57BE2">
      <w:pPr>
        <w:pStyle w:val="Notedebasdepage"/>
        <w:jc w:val="both"/>
        <w:rPr>
          <w:sz w:val="24"/>
          <w:szCs w:val="24"/>
          <w:rtl/>
        </w:rPr>
      </w:pPr>
      <w:r w:rsidRPr="007D3139">
        <w:rPr>
          <w:rStyle w:val="Appelnotedebasdep"/>
          <w:sz w:val="24"/>
          <w:szCs w:val="24"/>
        </w:rPr>
        <w:footnoteRef/>
      </w:r>
      <w:r>
        <w:rPr>
          <w:rFonts w:hint="cs"/>
          <w:sz w:val="24"/>
          <w:szCs w:val="24"/>
          <w:rtl/>
        </w:rPr>
        <w:t>- أبو بكر بن علي بن محمد الحدادي العبادي الزبيدي اليمني الحنفي، الجوهرة النيرة، المطبعة الخيرية، مصر، ط1، 1322ه، ج1، ص318.</w:t>
      </w:r>
    </w:p>
  </w:footnote>
  <w:footnote w:id="30">
    <w:p w:rsidR="0012210E" w:rsidRPr="007D3139" w:rsidRDefault="0012210E" w:rsidP="00C57BE2">
      <w:pPr>
        <w:pStyle w:val="Notedebasdepage"/>
        <w:jc w:val="both"/>
        <w:rPr>
          <w:sz w:val="24"/>
          <w:szCs w:val="24"/>
        </w:rPr>
      </w:pPr>
      <w:r w:rsidRPr="007D3139">
        <w:rPr>
          <w:rStyle w:val="Appelnotedebasdep"/>
          <w:sz w:val="24"/>
          <w:szCs w:val="24"/>
        </w:rPr>
        <w:footnoteRef/>
      </w:r>
      <w:r w:rsidRPr="007D3139">
        <w:rPr>
          <w:rFonts w:hint="cs"/>
          <w:sz w:val="24"/>
          <w:szCs w:val="24"/>
          <w:rtl/>
        </w:rPr>
        <w:t xml:space="preserve">- </w:t>
      </w:r>
      <w:r w:rsidRPr="00A647D6">
        <w:rPr>
          <w:rFonts w:hint="cs"/>
          <w:sz w:val="24"/>
          <w:szCs w:val="24"/>
          <w:rtl/>
        </w:rPr>
        <w:t>خالد عبد الحسين الحديثي، عقد الصلح، منشورات الحلبي الحقوقية، ط1، 2015، ص112-119.</w:t>
      </w:r>
    </w:p>
  </w:footnote>
  <w:footnote w:id="31">
    <w:p w:rsidR="0012210E" w:rsidRPr="007D3CFD" w:rsidRDefault="0012210E" w:rsidP="00C57BE2">
      <w:pPr>
        <w:pStyle w:val="Notedebasdepage"/>
        <w:jc w:val="both"/>
        <w:rPr>
          <w:sz w:val="24"/>
          <w:szCs w:val="24"/>
        </w:rPr>
      </w:pPr>
      <w:r w:rsidRPr="007D3CFD">
        <w:rPr>
          <w:rStyle w:val="Appelnotedebasdep"/>
          <w:sz w:val="24"/>
          <w:szCs w:val="24"/>
        </w:rPr>
        <w:footnoteRef/>
      </w:r>
      <w:r w:rsidRPr="007D3CFD">
        <w:rPr>
          <w:rFonts w:hint="cs"/>
          <w:sz w:val="24"/>
          <w:szCs w:val="24"/>
          <w:rtl/>
        </w:rPr>
        <w:t>- الأمر رقم 75-58 المؤرخ في 20 رمضان عام 1395 الموافق ل 26 سبتمبر سنة 1975 المتضمن القانون المدني المعدل بالقانون رقم 05-10 المؤرخ في 20 يونيو 2005، الجريدة الرسمية العدد 44، ص22.</w:t>
      </w:r>
    </w:p>
  </w:footnote>
  <w:footnote w:id="32">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عبد الرزاق السنهوري</w:t>
      </w:r>
      <w:r>
        <w:rPr>
          <w:rFonts w:hint="cs"/>
          <w:sz w:val="24"/>
          <w:szCs w:val="24"/>
          <w:rtl/>
        </w:rPr>
        <w:t>، الوسيط في شرح القانون المدني، ج5</w:t>
      </w:r>
      <w:r w:rsidRPr="007D3139">
        <w:rPr>
          <w:rFonts w:hint="cs"/>
          <w:sz w:val="24"/>
          <w:szCs w:val="24"/>
          <w:rtl/>
        </w:rPr>
        <w:t>، المرجع السابق، ص561.</w:t>
      </w:r>
    </w:p>
  </w:footnote>
  <w:footnote w:id="3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خالد عبد حسين الحديثي، المرجع السابق، ص126-128.</w:t>
      </w:r>
    </w:p>
  </w:footnote>
  <w:footnote w:id="34">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محمد قدري باشا، مرشد الحيران إلى معرفة أحوال الإنسان، نظارة المعارف العمومية، غزة، ط2، 1891، ص155.</w:t>
      </w:r>
    </w:p>
  </w:footnote>
  <w:footnote w:id="35">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النووي، المرجع السابق، ص195-198.</w:t>
      </w:r>
    </w:p>
  </w:footnote>
  <w:footnote w:id="36">
    <w:p w:rsidR="0012210E" w:rsidRPr="00A647D6" w:rsidRDefault="0012210E" w:rsidP="00C57BE2">
      <w:pPr>
        <w:pStyle w:val="Notedebasdepage"/>
        <w:jc w:val="both"/>
        <w:rPr>
          <w:sz w:val="24"/>
          <w:szCs w:val="24"/>
        </w:rPr>
      </w:pPr>
      <w:r w:rsidRPr="00A647D6">
        <w:rPr>
          <w:rStyle w:val="Appelnotedebasdep"/>
          <w:sz w:val="24"/>
          <w:szCs w:val="24"/>
        </w:rPr>
        <w:footnoteRef/>
      </w:r>
      <w:r w:rsidRPr="00A647D6">
        <w:rPr>
          <w:rFonts w:hint="cs"/>
          <w:sz w:val="24"/>
          <w:szCs w:val="24"/>
          <w:rtl/>
        </w:rPr>
        <w:t xml:space="preserve">- ابن عابدين، قرة عين الأخيار لتكملة رد المختار، دار الفكر للطباعة والنشر والتوزيع، بيروت، </w:t>
      </w:r>
      <w:proofErr w:type="spellStart"/>
      <w:r w:rsidRPr="00A647D6">
        <w:rPr>
          <w:rFonts w:hint="cs"/>
          <w:sz w:val="24"/>
          <w:szCs w:val="24"/>
          <w:rtl/>
        </w:rPr>
        <w:t>د.ط</w:t>
      </w:r>
      <w:proofErr w:type="spellEnd"/>
      <w:r w:rsidRPr="00A647D6">
        <w:rPr>
          <w:rFonts w:hint="cs"/>
          <w:sz w:val="24"/>
          <w:szCs w:val="24"/>
          <w:rtl/>
        </w:rPr>
        <w:t>، د.ت، ج8، ص355.</w:t>
      </w:r>
    </w:p>
  </w:footnote>
  <w:footnote w:id="37">
    <w:p w:rsidR="0012210E" w:rsidRPr="003A1BBE" w:rsidRDefault="0012210E" w:rsidP="00C57BE2">
      <w:pPr>
        <w:pStyle w:val="Notedebasdepage"/>
        <w:jc w:val="both"/>
        <w:rPr>
          <w:sz w:val="24"/>
          <w:szCs w:val="24"/>
        </w:rPr>
      </w:pPr>
      <w:r w:rsidRPr="003A1BBE">
        <w:rPr>
          <w:rStyle w:val="Appelnotedebasdep"/>
          <w:sz w:val="24"/>
          <w:szCs w:val="24"/>
        </w:rPr>
        <w:footnoteRef/>
      </w:r>
      <w:r w:rsidRPr="003A1BBE">
        <w:rPr>
          <w:rFonts w:hint="cs"/>
          <w:sz w:val="24"/>
          <w:szCs w:val="24"/>
          <w:rtl/>
        </w:rPr>
        <w:t>- القرافي، الذخيرة، دار الغرب الإسلامي، بيروت، ط1، 1914م، ج5، ص347.</w:t>
      </w:r>
    </w:p>
  </w:footnote>
  <w:footnote w:id="38">
    <w:p w:rsidR="0012210E" w:rsidRPr="007D3CFD" w:rsidRDefault="0012210E" w:rsidP="00C57BE2">
      <w:pPr>
        <w:pStyle w:val="Notedebasdepage"/>
        <w:jc w:val="both"/>
        <w:rPr>
          <w:sz w:val="24"/>
          <w:szCs w:val="24"/>
        </w:rPr>
      </w:pPr>
      <w:r w:rsidRPr="007D3CFD">
        <w:rPr>
          <w:rStyle w:val="Appelnotedebasdep"/>
          <w:sz w:val="24"/>
          <w:szCs w:val="24"/>
        </w:rPr>
        <w:footnoteRef/>
      </w:r>
      <w:r w:rsidRPr="007D3CFD">
        <w:rPr>
          <w:rFonts w:hint="cs"/>
          <w:sz w:val="24"/>
          <w:szCs w:val="24"/>
          <w:rtl/>
        </w:rPr>
        <w:t>- الماوردي، الحاوي الكبير في فقه مذهب الإمام الشافعي، دار الكتب العلمية، بيروت، ط1، 1999م، ج6، ص408.</w:t>
      </w:r>
    </w:p>
  </w:footnote>
  <w:footnote w:id="39">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السرخسي، المبسوط، دار المعرفة، </w:t>
      </w:r>
      <w:r w:rsidRPr="00654CA7">
        <w:rPr>
          <w:rFonts w:hint="cs"/>
          <w:sz w:val="24"/>
          <w:szCs w:val="24"/>
          <w:rtl/>
        </w:rPr>
        <w:t>بيروت</w:t>
      </w:r>
      <w:r w:rsidRPr="007D3139">
        <w:rPr>
          <w:rFonts w:hint="cs"/>
          <w:sz w:val="24"/>
          <w:szCs w:val="24"/>
          <w:rtl/>
        </w:rPr>
        <w:t xml:space="preserve">، </w:t>
      </w:r>
      <w:proofErr w:type="spellStart"/>
      <w:r w:rsidRPr="007D3139">
        <w:rPr>
          <w:rFonts w:hint="cs"/>
          <w:sz w:val="24"/>
          <w:szCs w:val="24"/>
          <w:rtl/>
        </w:rPr>
        <w:t>د.ط</w:t>
      </w:r>
      <w:proofErr w:type="spellEnd"/>
      <w:r w:rsidRPr="007D3139">
        <w:rPr>
          <w:rFonts w:hint="cs"/>
          <w:sz w:val="24"/>
          <w:szCs w:val="24"/>
          <w:rtl/>
        </w:rPr>
        <w:t>ـ د.ت، ج20، ص134.</w:t>
      </w:r>
    </w:p>
  </w:footnote>
  <w:footnote w:id="40">
    <w:p w:rsidR="0012210E" w:rsidRPr="00B73FAB" w:rsidRDefault="0012210E" w:rsidP="00C57BE2">
      <w:pPr>
        <w:pStyle w:val="Notedebasdepage"/>
        <w:jc w:val="both"/>
        <w:rPr>
          <w:sz w:val="24"/>
          <w:szCs w:val="24"/>
        </w:rPr>
      </w:pPr>
      <w:r w:rsidRPr="00B73FAB">
        <w:rPr>
          <w:rStyle w:val="Appelnotedebasdep"/>
          <w:sz w:val="24"/>
          <w:szCs w:val="24"/>
        </w:rPr>
        <w:footnoteRef/>
      </w:r>
      <w:r w:rsidRPr="00B73FAB">
        <w:rPr>
          <w:rFonts w:hint="cs"/>
          <w:sz w:val="24"/>
          <w:szCs w:val="24"/>
          <w:rtl/>
        </w:rPr>
        <w:t xml:space="preserve">- القرطبي، المحلى بالآثار، دار الفكر، بيروت، </w:t>
      </w:r>
      <w:proofErr w:type="spellStart"/>
      <w:r w:rsidRPr="00B73FAB">
        <w:rPr>
          <w:rFonts w:hint="cs"/>
          <w:sz w:val="24"/>
          <w:szCs w:val="24"/>
          <w:rtl/>
        </w:rPr>
        <w:t>د.ط</w:t>
      </w:r>
      <w:proofErr w:type="spellEnd"/>
      <w:r w:rsidRPr="00B73FAB">
        <w:rPr>
          <w:rFonts w:hint="cs"/>
          <w:sz w:val="24"/>
          <w:szCs w:val="24"/>
          <w:rtl/>
        </w:rPr>
        <w:t>، د.ت، ج6، ص473.</w:t>
      </w:r>
    </w:p>
  </w:footnote>
  <w:footnote w:id="41">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سليم باز، شرح مجلة الأحكام العدلية، بيروت، </w:t>
      </w:r>
      <w:proofErr w:type="spellStart"/>
      <w:r w:rsidRPr="007D3139">
        <w:rPr>
          <w:rFonts w:hint="cs"/>
          <w:sz w:val="24"/>
          <w:szCs w:val="24"/>
          <w:rtl/>
        </w:rPr>
        <w:t>د.ط</w:t>
      </w:r>
      <w:proofErr w:type="spellEnd"/>
      <w:r w:rsidRPr="007D3139">
        <w:rPr>
          <w:rFonts w:hint="cs"/>
          <w:sz w:val="24"/>
          <w:szCs w:val="24"/>
          <w:rtl/>
        </w:rPr>
        <w:t>، د.ت، 1889، ص241.</w:t>
      </w:r>
    </w:p>
  </w:footnote>
  <w:footnote w:id="42">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أبو حامد الغزالي، الوسيط، دار الإسلام، القاهرة، </w:t>
      </w:r>
      <w:proofErr w:type="spellStart"/>
      <w:r w:rsidRPr="007D3139">
        <w:rPr>
          <w:rFonts w:hint="cs"/>
          <w:sz w:val="24"/>
          <w:szCs w:val="24"/>
          <w:rtl/>
        </w:rPr>
        <w:t>د.ط</w:t>
      </w:r>
      <w:proofErr w:type="spellEnd"/>
      <w:r w:rsidRPr="007D3139">
        <w:rPr>
          <w:rFonts w:hint="cs"/>
          <w:sz w:val="24"/>
          <w:szCs w:val="24"/>
          <w:rtl/>
        </w:rPr>
        <w:t>، 1417هـ، ج4، ص78.</w:t>
      </w:r>
    </w:p>
  </w:footnote>
  <w:footnote w:id="4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فكري حلمي البنا، الصلح القضائي، مجلة المحاسبة والاقتصاد، العدد 641، 2012، ص10.</w:t>
      </w:r>
    </w:p>
  </w:footnote>
  <w:footnote w:id="44">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عبد الرزاق السنهوري، الوسيط في شرح القانون المدني، دار إحياء التراث العربي، لبنان، </w:t>
      </w:r>
      <w:proofErr w:type="spellStart"/>
      <w:r w:rsidRPr="007D3139">
        <w:rPr>
          <w:rFonts w:hint="cs"/>
          <w:sz w:val="24"/>
          <w:szCs w:val="24"/>
          <w:rtl/>
        </w:rPr>
        <w:t>د.ط</w:t>
      </w:r>
      <w:proofErr w:type="spellEnd"/>
      <w:r w:rsidRPr="007D3139">
        <w:rPr>
          <w:rFonts w:hint="cs"/>
          <w:sz w:val="24"/>
          <w:szCs w:val="24"/>
          <w:rtl/>
        </w:rPr>
        <w:t>، د.ت</w:t>
      </w:r>
      <w:r>
        <w:rPr>
          <w:rFonts w:hint="cs"/>
          <w:sz w:val="24"/>
          <w:szCs w:val="24"/>
          <w:rtl/>
        </w:rPr>
        <w:t>، ج1</w:t>
      </w:r>
      <w:r w:rsidRPr="007D3139">
        <w:rPr>
          <w:rFonts w:hint="cs"/>
          <w:sz w:val="24"/>
          <w:szCs w:val="24"/>
          <w:rtl/>
        </w:rPr>
        <w:t>، ص155.</w:t>
      </w:r>
    </w:p>
  </w:footnote>
  <w:footnote w:id="45">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فيصل بن سعد العصيمي، الصلح في </w:t>
      </w:r>
      <w:r w:rsidRPr="000D5DBF">
        <w:rPr>
          <w:rFonts w:hint="cs"/>
          <w:sz w:val="24"/>
          <w:szCs w:val="24"/>
          <w:rtl/>
        </w:rPr>
        <w:t>مجلس</w:t>
      </w:r>
      <w:r>
        <w:rPr>
          <w:rFonts w:hint="cs"/>
          <w:sz w:val="24"/>
          <w:szCs w:val="24"/>
          <w:rtl/>
        </w:rPr>
        <w:t xml:space="preserve"> القضاء</w:t>
      </w:r>
      <w:r w:rsidRPr="007D3139">
        <w:rPr>
          <w:rFonts w:hint="cs"/>
          <w:sz w:val="24"/>
          <w:szCs w:val="24"/>
          <w:rtl/>
        </w:rPr>
        <w:t xml:space="preserve">، </w:t>
      </w:r>
      <w:r>
        <w:rPr>
          <w:rFonts w:hint="cs"/>
          <w:sz w:val="24"/>
          <w:szCs w:val="24"/>
          <w:rtl/>
        </w:rPr>
        <w:t>مجلة العدل</w:t>
      </w:r>
      <w:r w:rsidRPr="007D3139">
        <w:rPr>
          <w:rFonts w:hint="cs"/>
          <w:sz w:val="24"/>
          <w:szCs w:val="24"/>
          <w:rtl/>
        </w:rPr>
        <w:t>،</w:t>
      </w:r>
      <w:r>
        <w:rPr>
          <w:rFonts w:hint="cs"/>
          <w:sz w:val="24"/>
          <w:szCs w:val="24"/>
          <w:rtl/>
        </w:rPr>
        <w:t xml:space="preserve"> السعودية،</w:t>
      </w:r>
      <w:r w:rsidRPr="007D3139">
        <w:rPr>
          <w:rFonts w:hint="cs"/>
          <w:sz w:val="24"/>
          <w:szCs w:val="24"/>
          <w:rtl/>
        </w:rPr>
        <w:t xml:space="preserve"> العدد 67، 1436هـ، ص12.</w:t>
      </w:r>
    </w:p>
  </w:footnote>
  <w:footnote w:id="46">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عبد الرزاق السنهوري، الوسيط في شرح القانون المدني، مرجع سابق، </w:t>
      </w:r>
      <w:r w:rsidRPr="00AF19EE">
        <w:rPr>
          <w:rFonts w:hint="cs"/>
          <w:sz w:val="24"/>
          <w:szCs w:val="24"/>
          <w:rtl/>
        </w:rPr>
        <w:t>ج1،</w:t>
      </w:r>
      <w:r w:rsidRPr="007D3139">
        <w:rPr>
          <w:rFonts w:hint="cs"/>
          <w:sz w:val="24"/>
          <w:szCs w:val="24"/>
          <w:rtl/>
        </w:rPr>
        <w:t xml:space="preserve"> ص518.</w:t>
      </w:r>
    </w:p>
  </w:footnote>
  <w:footnote w:id="47">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r>
        <w:rPr>
          <w:rFonts w:hint="cs"/>
          <w:sz w:val="24"/>
          <w:szCs w:val="24"/>
          <w:rtl/>
        </w:rPr>
        <w:t>المرجع نفسه</w:t>
      </w:r>
      <w:r w:rsidRPr="007D3139">
        <w:rPr>
          <w:rFonts w:hint="cs"/>
          <w:sz w:val="24"/>
          <w:szCs w:val="24"/>
          <w:rtl/>
        </w:rPr>
        <w:t>، ص165.</w:t>
      </w:r>
    </w:p>
  </w:footnote>
  <w:footnote w:id="48">
    <w:p w:rsidR="0012210E" w:rsidRPr="00B0539C" w:rsidRDefault="0012210E" w:rsidP="00C57BE2">
      <w:pPr>
        <w:pStyle w:val="Notedebasdepage"/>
        <w:jc w:val="both"/>
        <w:rPr>
          <w:sz w:val="24"/>
          <w:szCs w:val="24"/>
        </w:rPr>
      </w:pPr>
      <w:r w:rsidRPr="00B0539C">
        <w:rPr>
          <w:rStyle w:val="Appelnotedebasdep"/>
          <w:sz w:val="24"/>
          <w:szCs w:val="24"/>
        </w:rPr>
        <w:footnoteRef/>
      </w:r>
      <w:r w:rsidRPr="00B0539C">
        <w:rPr>
          <w:rFonts w:hint="cs"/>
          <w:sz w:val="24"/>
          <w:szCs w:val="24"/>
          <w:rtl/>
        </w:rPr>
        <w:t>- سليم باز، مرجع سابق، ص241.</w:t>
      </w:r>
    </w:p>
  </w:footnote>
  <w:footnote w:id="49">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موفق الدين أبي محمد عبد الله، عمدة الفقه، المكتبة العصرية، بيروت، </w:t>
      </w:r>
      <w:proofErr w:type="spellStart"/>
      <w:r w:rsidRPr="007D3139">
        <w:rPr>
          <w:rFonts w:hint="cs"/>
          <w:sz w:val="24"/>
          <w:szCs w:val="24"/>
          <w:rtl/>
        </w:rPr>
        <w:t>د.ط</w:t>
      </w:r>
      <w:proofErr w:type="spellEnd"/>
      <w:r w:rsidRPr="007D3139">
        <w:rPr>
          <w:rFonts w:hint="cs"/>
          <w:sz w:val="24"/>
          <w:szCs w:val="24"/>
          <w:rtl/>
        </w:rPr>
        <w:t>، 2003، ص58.</w:t>
      </w:r>
    </w:p>
  </w:footnote>
  <w:footnote w:id="50">
    <w:p w:rsidR="0012210E" w:rsidRPr="00900603" w:rsidRDefault="0012210E" w:rsidP="00C57BE2">
      <w:pPr>
        <w:pStyle w:val="Notedebasdepage"/>
        <w:jc w:val="both"/>
        <w:rPr>
          <w:sz w:val="24"/>
          <w:szCs w:val="24"/>
        </w:rPr>
      </w:pPr>
      <w:r w:rsidRPr="00900603">
        <w:rPr>
          <w:rStyle w:val="Appelnotedebasdep"/>
          <w:sz w:val="24"/>
          <w:szCs w:val="24"/>
        </w:rPr>
        <w:footnoteRef/>
      </w:r>
      <w:r w:rsidRPr="00900603">
        <w:rPr>
          <w:rFonts w:hint="cs"/>
          <w:sz w:val="24"/>
          <w:szCs w:val="24"/>
          <w:rtl/>
        </w:rPr>
        <w:t xml:space="preserve">- محمد بن علي بن شعيب، تقوين النظر في مسائل خلافية ذائعة ونبذ مذهبية نافعة، مكتبة الرشد، السعودية، ط1، 2001م، ج2، ص </w:t>
      </w:r>
      <w:proofErr w:type="spellStart"/>
      <w:r w:rsidRPr="00900603">
        <w:rPr>
          <w:rFonts w:hint="cs"/>
          <w:sz w:val="24"/>
          <w:szCs w:val="24"/>
          <w:rtl/>
        </w:rPr>
        <w:t>ص</w:t>
      </w:r>
      <w:proofErr w:type="spellEnd"/>
      <w:r w:rsidRPr="00900603">
        <w:rPr>
          <w:rFonts w:hint="cs"/>
          <w:sz w:val="24"/>
          <w:szCs w:val="24"/>
          <w:rtl/>
        </w:rPr>
        <w:t xml:space="preserve"> 431-433.</w:t>
      </w:r>
    </w:p>
  </w:footnote>
  <w:footnote w:id="51">
    <w:p w:rsidR="0012210E" w:rsidRPr="00900603" w:rsidRDefault="0012210E" w:rsidP="00C57BE2">
      <w:pPr>
        <w:pStyle w:val="Notedebasdepage"/>
        <w:jc w:val="both"/>
        <w:rPr>
          <w:sz w:val="24"/>
          <w:szCs w:val="24"/>
        </w:rPr>
      </w:pPr>
      <w:r w:rsidRPr="00900603">
        <w:rPr>
          <w:rStyle w:val="Appelnotedebasdep"/>
          <w:sz w:val="24"/>
          <w:szCs w:val="24"/>
        </w:rPr>
        <w:footnoteRef/>
      </w:r>
      <w:r w:rsidRPr="00900603">
        <w:rPr>
          <w:rFonts w:hint="cs"/>
          <w:sz w:val="24"/>
          <w:szCs w:val="24"/>
          <w:rtl/>
        </w:rPr>
        <w:t>- فخر الدين الرازي، المحصول، مؤسسة الرسالة، المغرب، ط3، 1997م، ج6، ص63.</w:t>
      </w:r>
    </w:p>
  </w:footnote>
  <w:footnote w:id="52">
    <w:p w:rsidR="0012210E" w:rsidRPr="005B088D" w:rsidRDefault="0012210E" w:rsidP="00C57BE2">
      <w:pPr>
        <w:pStyle w:val="Notedebasdepage"/>
        <w:jc w:val="both"/>
        <w:rPr>
          <w:sz w:val="24"/>
          <w:szCs w:val="24"/>
        </w:rPr>
      </w:pPr>
      <w:r w:rsidRPr="005B088D">
        <w:rPr>
          <w:rStyle w:val="Appelnotedebasdep"/>
          <w:sz w:val="24"/>
          <w:szCs w:val="24"/>
        </w:rPr>
        <w:footnoteRef/>
      </w:r>
      <w:r w:rsidRPr="005B088D">
        <w:rPr>
          <w:rFonts w:hint="cs"/>
          <w:sz w:val="24"/>
          <w:szCs w:val="24"/>
          <w:rtl/>
        </w:rPr>
        <w:t xml:space="preserve">- وزارة الأوقاف والشؤون الإسلامية الكويتية، مرجع سابق، ج27، ص </w:t>
      </w:r>
      <w:proofErr w:type="spellStart"/>
      <w:r w:rsidRPr="005B088D">
        <w:rPr>
          <w:rFonts w:hint="cs"/>
          <w:sz w:val="24"/>
          <w:szCs w:val="24"/>
          <w:rtl/>
        </w:rPr>
        <w:t>ص</w:t>
      </w:r>
      <w:proofErr w:type="spellEnd"/>
      <w:r w:rsidRPr="005B088D">
        <w:rPr>
          <w:rFonts w:hint="cs"/>
          <w:sz w:val="24"/>
          <w:szCs w:val="24"/>
          <w:rtl/>
        </w:rPr>
        <w:t xml:space="preserve"> 355-356.</w:t>
      </w:r>
    </w:p>
  </w:footnote>
  <w:footnote w:id="53">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عبد الرزاق السنهوري، مصادر الحق في الفقه الإسلامي، دار إحياء التراث العربي، بيروت، </w:t>
      </w:r>
      <w:proofErr w:type="spellStart"/>
      <w:r w:rsidRPr="007D3139">
        <w:rPr>
          <w:rFonts w:hint="cs"/>
          <w:sz w:val="24"/>
          <w:szCs w:val="24"/>
          <w:rtl/>
        </w:rPr>
        <w:t>د.ط</w:t>
      </w:r>
      <w:proofErr w:type="spellEnd"/>
      <w:r w:rsidRPr="007D3139">
        <w:rPr>
          <w:rFonts w:hint="cs"/>
          <w:sz w:val="24"/>
          <w:szCs w:val="24"/>
          <w:rtl/>
        </w:rPr>
        <w:t>، 1967، ج2، ص13-14.</w:t>
      </w:r>
    </w:p>
  </w:footnote>
  <w:footnote w:id="54">
    <w:p w:rsidR="0012210E" w:rsidRPr="007D3CFD" w:rsidRDefault="0012210E" w:rsidP="00C57BE2">
      <w:pPr>
        <w:pStyle w:val="Notedebasdepage"/>
        <w:jc w:val="both"/>
        <w:rPr>
          <w:sz w:val="24"/>
          <w:szCs w:val="24"/>
        </w:rPr>
      </w:pPr>
      <w:r w:rsidRPr="007D3CFD">
        <w:rPr>
          <w:rStyle w:val="Appelnotedebasdep"/>
          <w:sz w:val="24"/>
          <w:szCs w:val="24"/>
        </w:rPr>
        <w:footnoteRef/>
      </w:r>
      <w:r w:rsidRPr="007D3CFD">
        <w:rPr>
          <w:rFonts w:hint="cs"/>
          <w:sz w:val="24"/>
          <w:szCs w:val="24"/>
          <w:rtl/>
        </w:rPr>
        <w:t>- المرجع نفسه، ص15.</w:t>
      </w:r>
    </w:p>
  </w:footnote>
  <w:footnote w:id="55">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سورة النساء، الآية 35.</w:t>
      </w:r>
    </w:p>
  </w:footnote>
  <w:footnote w:id="56">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r w:rsidRPr="00F84444">
        <w:rPr>
          <w:rFonts w:hint="cs"/>
          <w:sz w:val="24"/>
          <w:szCs w:val="24"/>
          <w:rtl/>
        </w:rPr>
        <w:t xml:space="preserve">عبد الله بن محمد سعد آل حنين، قضايا وأحكام ، مجلة العدل، </w:t>
      </w:r>
      <w:proofErr w:type="spellStart"/>
      <w:r w:rsidRPr="00F84444">
        <w:rPr>
          <w:rFonts w:hint="cs"/>
          <w:sz w:val="24"/>
          <w:szCs w:val="24"/>
          <w:rtl/>
        </w:rPr>
        <w:t>السعودية،العدد</w:t>
      </w:r>
      <w:proofErr w:type="spellEnd"/>
      <w:r w:rsidRPr="00F84444">
        <w:rPr>
          <w:rFonts w:hint="cs"/>
          <w:sz w:val="24"/>
          <w:szCs w:val="24"/>
          <w:rtl/>
        </w:rPr>
        <w:t xml:space="preserve"> 28، 1426هـ، ص211.</w:t>
      </w:r>
    </w:p>
  </w:footnote>
  <w:footnote w:id="57">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برابرة عبد الرحمان، المرجع السابق، ص336-337.</w:t>
      </w:r>
    </w:p>
  </w:footnote>
  <w:footnote w:id="58">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المرجع نفسه، ص338.</w:t>
      </w:r>
    </w:p>
  </w:footnote>
  <w:footnote w:id="59">
    <w:p w:rsidR="0012210E" w:rsidRPr="007D3139" w:rsidRDefault="0012210E" w:rsidP="00C57BE2">
      <w:pPr>
        <w:pStyle w:val="Notedebasdepage"/>
        <w:jc w:val="both"/>
        <w:rPr>
          <w:sz w:val="24"/>
          <w:szCs w:val="24"/>
          <w:rtl/>
        </w:rPr>
      </w:pPr>
      <w:r w:rsidRPr="007D3139">
        <w:rPr>
          <w:rStyle w:val="Appelnotedebasdep"/>
          <w:sz w:val="24"/>
          <w:szCs w:val="24"/>
        </w:rPr>
        <w:footnoteRef/>
      </w:r>
      <w:r w:rsidRPr="007D3139">
        <w:rPr>
          <w:rFonts w:hint="cs"/>
          <w:sz w:val="24"/>
          <w:szCs w:val="24"/>
          <w:rtl/>
        </w:rPr>
        <w:t xml:space="preserve">- </w:t>
      </w:r>
      <w:proofErr w:type="spellStart"/>
      <w:r w:rsidRPr="007D3139">
        <w:rPr>
          <w:rFonts w:hint="cs"/>
          <w:sz w:val="24"/>
          <w:szCs w:val="24"/>
          <w:rtl/>
        </w:rPr>
        <w:t>الكاساني</w:t>
      </w:r>
      <w:proofErr w:type="spellEnd"/>
      <w:r w:rsidRPr="007D3139">
        <w:rPr>
          <w:rFonts w:hint="cs"/>
          <w:sz w:val="24"/>
          <w:szCs w:val="24"/>
          <w:rtl/>
        </w:rPr>
        <w:t>، المرجع السابق، ص53.</w:t>
      </w:r>
    </w:p>
  </w:footnote>
  <w:footnote w:id="60">
    <w:p w:rsidR="0012210E" w:rsidRDefault="0012210E" w:rsidP="00C57BE2">
      <w:pPr>
        <w:pStyle w:val="Notedebasdepage"/>
        <w:jc w:val="both"/>
        <w:rPr>
          <w:rtl/>
        </w:rPr>
      </w:pPr>
      <w:r w:rsidRPr="007D3139">
        <w:rPr>
          <w:rStyle w:val="Appelnotedebasdep"/>
          <w:sz w:val="24"/>
          <w:szCs w:val="24"/>
        </w:rPr>
        <w:footnoteRef/>
      </w:r>
      <w:r w:rsidRPr="007D3139">
        <w:rPr>
          <w:rFonts w:hint="cs"/>
          <w:sz w:val="24"/>
          <w:szCs w:val="24"/>
          <w:rtl/>
        </w:rPr>
        <w:t xml:space="preserve">- عبد الرزاق السنهوري، الوسيط في شرح القانون المدني، </w:t>
      </w:r>
      <w:r w:rsidRPr="00F61D28">
        <w:rPr>
          <w:rFonts w:hint="cs"/>
          <w:sz w:val="24"/>
          <w:szCs w:val="24"/>
          <w:rtl/>
        </w:rPr>
        <w:t>ج5</w:t>
      </w:r>
      <w:r w:rsidRPr="007D3139">
        <w:rPr>
          <w:rFonts w:hint="cs"/>
          <w:sz w:val="24"/>
          <w:szCs w:val="24"/>
          <w:rtl/>
        </w:rPr>
        <w:t>، المرجع السابق، ص562-563.</w:t>
      </w:r>
    </w:p>
  </w:footnote>
  <w:footnote w:id="61">
    <w:p w:rsidR="0012210E" w:rsidRPr="00141B7D" w:rsidRDefault="0012210E" w:rsidP="00C57BE2">
      <w:pPr>
        <w:pStyle w:val="Notedebasdepage"/>
        <w:jc w:val="both"/>
        <w:rPr>
          <w:sz w:val="24"/>
          <w:szCs w:val="24"/>
          <w:rtl/>
        </w:rPr>
      </w:pPr>
      <w:r w:rsidRPr="00141B7D">
        <w:rPr>
          <w:rStyle w:val="Appelnotedebasdep"/>
          <w:sz w:val="24"/>
          <w:szCs w:val="24"/>
        </w:rPr>
        <w:footnoteRef/>
      </w:r>
      <w:r w:rsidRPr="00141B7D">
        <w:rPr>
          <w:rFonts w:hint="cs"/>
          <w:sz w:val="24"/>
          <w:szCs w:val="24"/>
          <w:rtl/>
        </w:rPr>
        <w:t xml:space="preserve">- </w:t>
      </w:r>
      <w:r>
        <w:rPr>
          <w:rFonts w:hint="cs"/>
          <w:sz w:val="24"/>
          <w:szCs w:val="24"/>
          <w:rtl/>
        </w:rPr>
        <w:t>المرجع نفسه،</w:t>
      </w:r>
      <w:r w:rsidRPr="00141B7D">
        <w:rPr>
          <w:rFonts w:hint="cs"/>
          <w:sz w:val="24"/>
          <w:szCs w:val="24"/>
          <w:rtl/>
        </w:rPr>
        <w:t xml:space="preserve"> ص593.</w:t>
      </w:r>
    </w:p>
  </w:footnote>
  <w:footnote w:id="62">
    <w:p w:rsidR="0012210E" w:rsidRPr="00AC5D4C" w:rsidRDefault="0012210E" w:rsidP="00C57BE2">
      <w:pPr>
        <w:pStyle w:val="Notedebasdepage"/>
        <w:jc w:val="both"/>
        <w:rPr>
          <w:sz w:val="24"/>
          <w:szCs w:val="24"/>
        </w:rPr>
      </w:pPr>
      <w:r w:rsidRPr="00AC5D4C">
        <w:rPr>
          <w:rStyle w:val="Appelnotedebasdep"/>
          <w:sz w:val="24"/>
          <w:szCs w:val="24"/>
        </w:rPr>
        <w:footnoteRef/>
      </w:r>
      <w:r w:rsidRPr="00AC5D4C">
        <w:rPr>
          <w:rFonts w:hint="cs"/>
          <w:sz w:val="24"/>
          <w:szCs w:val="24"/>
          <w:rtl/>
        </w:rPr>
        <w:t>- مرشد الحيران  (م1048، 1049).</w:t>
      </w:r>
    </w:p>
  </w:footnote>
  <w:footnote w:id="63">
    <w:p w:rsidR="0012210E" w:rsidRPr="00141B7D" w:rsidRDefault="0012210E" w:rsidP="00C57BE2">
      <w:pPr>
        <w:pStyle w:val="Notedebasdepage"/>
        <w:jc w:val="both"/>
        <w:rPr>
          <w:sz w:val="24"/>
          <w:szCs w:val="24"/>
          <w:rtl/>
        </w:rPr>
      </w:pPr>
      <w:r w:rsidRPr="00141B7D">
        <w:rPr>
          <w:rStyle w:val="Appelnotedebasdep"/>
          <w:sz w:val="24"/>
          <w:szCs w:val="24"/>
        </w:rPr>
        <w:footnoteRef/>
      </w:r>
      <w:r w:rsidRPr="00141B7D">
        <w:rPr>
          <w:rFonts w:hint="cs"/>
          <w:sz w:val="24"/>
          <w:szCs w:val="24"/>
          <w:rtl/>
        </w:rPr>
        <w:t>- عبد الرزاق السنهوري، مصادر الحق في الفقه الإسلامي</w:t>
      </w:r>
      <w:r>
        <w:rPr>
          <w:rFonts w:hint="cs"/>
          <w:sz w:val="24"/>
          <w:szCs w:val="24"/>
          <w:rtl/>
        </w:rPr>
        <w:t>، المرج السابق، ج5</w:t>
      </w:r>
      <w:r w:rsidRPr="00141B7D">
        <w:rPr>
          <w:rFonts w:hint="cs"/>
          <w:sz w:val="24"/>
          <w:szCs w:val="24"/>
          <w:rtl/>
        </w:rPr>
        <w:t>، ص136.</w:t>
      </w:r>
    </w:p>
  </w:footnote>
  <w:footnote w:id="64">
    <w:p w:rsidR="0012210E" w:rsidRPr="00F2297E" w:rsidRDefault="0012210E" w:rsidP="00C57BE2">
      <w:pPr>
        <w:pStyle w:val="Notedebasdepage"/>
        <w:jc w:val="both"/>
        <w:rPr>
          <w:sz w:val="24"/>
          <w:szCs w:val="24"/>
          <w:rtl/>
        </w:rPr>
      </w:pPr>
      <w:r w:rsidRPr="00F2297E">
        <w:rPr>
          <w:rStyle w:val="Appelnotedebasdep"/>
          <w:sz w:val="24"/>
          <w:szCs w:val="24"/>
        </w:rPr>
        <w:footnoteRef/>
      </w:r>
      <w:r w:rsidRPr="00F2297E">
        <w:rPr>
          <w:rFonts w:hint="cs"/>
          <w:sz w:val="24"/>
          <w:szCs w:val="24"/>
          <w:rtl/>
        </w:rPr>
        <w:t xml:space="preserve">- </w:t>
      </w:r>
      <w:proofErr w:type="spellStart"/>
      <w:r w:rsidRPr="00F2297E">
        <w:rPr>
          <w:rFonts w:hint="cs"/>
          <w:sz w:val="24"/>
          <w:szCs w:val="24"/>
          <w:rtl/>
        </w:rPr>
        <w:t>الكاساني</w:t>
      </w:r>
      <w:proofErr w:type="spellEnd"/>
      <w:r w:rsidRPr="00F2297E">
        <w:rPr>
          <w:rFonts w:hint="cs"/>
          <w:sz w:val="24"/>
          <w:szCs w:val="24"/>
          <w:rtl/>
        </w:rPr>
        <w:t>، المرجع السابق، ص54-55.</w:t>
      </w:r>
    </w:p>
  </w:footnote>
  <w:footnote w:id="65">
    <w:p w:rsidR="0012210E" w:rsidRPr="00654CA7" w:rsidRDefault="0012210E" w:rsidP="00C57BE2">
      <w:pPr>
        <w:pStyle w:val="Notedebasdepage"/>
        <w:jc w:val="both"/>
        <w:rPr>
          <w:sz w:val="24"/>
          <w:szCs w:val="24"/>
        </w:rPr>
      </w:pPr>
      <w:r w:rsidRPr="00654CA7">
        <w:rPr>
          <w:rStyle w:val="Appelnotedebasdep"/>
          <w:sz w:val="24"/>
          <w:szCs w:val="24"/>
        </w:rPr>
        <w:footnoteRef/>
      </w:r>
      <w:r w:rsidRPr="00654CA7">
        <w:rPr>
          <w:rFonts w:hint="cs"/>
          <w:sz w:val="24"/>
          <w:szCs w:val="24"/>
          <w:rtl/>
        </w:rPr>
        <w:t>- مصطفى الخن وآخرون، مرجع سابق، ج6، ص186.</w:t>
      </w:r>
    </w:p>
  </w:footnote>
  <w:footnote w:id="66">
    <w:p w:rsidR="0012210E" w:rsidRPr="00CB22B9" w:rsidRDefault="0012210E" w:rsidP="00C57BE2">
      <w:pPr>
        <w:pStyle w:val="Notedebasdepage"/>
        <w:jc w:val="both"/>
        <w:rPr>
          <w:sz w:val="24"/>
          <w:szCs w:val="24"/>
        </w:rPr>
      </w:pPr>
      <w:r w:rsidRPr="00CB22B9">
        <w:rPr>
          <w:rStyle w:val="Appelnotedebasdep"/>
          <w:sz w:val="24"/>
          <w:szCs w:val="24"/>
        </w:rPr>
        <w:footnoteRef/>
      </w:r>
      <w:r w:rsidRPr="00CB22B9">
        <w:rPr>
          <w:rFonts w:hint="cs"/>
          <w:sz w:val="24"/>
          <w:szCs w:val="24"/>
          <w:rtl/>
        </w:rPr>
        <w:t>- محمد بن إبراهيم ين عبد الله التويجري، مرجع سابق، ج3، ص651.</w:t>
      </w:r>
    </w:p>
  </w:footnote>
  <w:footnote w:id="67">
    <w:p w:rsidR="0012210E" w:rsidRPr="00F2297E" w:rsidRDefault="0012210E" w:rsidP="00C57BE2">
      <w:pPr>
        <w:pStyle w:val="Notedebasdepage"/>
        <w:jc w:val="both"/>
        <w:rPr>
          <w:sz w:val="24"/>
          <w:szCs w:val="24"/>
          <w:rtl/>
        </w:rPr>
      </w:pPr>
      <w:r w:rsidRPr="00F2297E">
        <w:rPr>
          <w:rStyle w:val="Appelnotedebasdep"/>
          <w:sz w:val="24"/>
          <w:szCs w:val="24"/>
        </w:rPr>
        <w:footnoteRef/>
      </w:r>
      <w:r w:rsidRPr="00F2297E">
        <w:rPr>
          <w:rFonts w:hint="cs"/>
          <w:sz w:val="24"/>
          <w:szCs w:val="24"/>
          <w:rtl/>
        </w:rPr>
        <w:t xml:space="preserve">- عبد الرزاق السنهوري، الوسيط، </w:t>
      </w:r>
      <w:r w:rsidRPr="00654CA7">
        <w:rPr>
          <w:rFonts w:hint="cs"/>
          <w:sz w:val="24"/>
          <w:szCs w:val="24"/>
          <w:rtl/>
        </w:rPr>
        <w:t>ج1</w:t>
      </w:r>
      <w:r w:rsidRPr="00F2297E">
        <w:rPr>
          <w:rFonts w:hint="cs"/>
          <w:sz w:val="24"/>
          <w:szCs w:val="24"/>
          <w:rtl/>
        </w:rPr>
        <w:t>، المرجع السابق، ص210.</w:t>
      </w:r>
    </w:p>
  </w:footnote>
  <w:footnote w:id="68">
    <w:p w:rsidR="0012210E" w:rsidRPr="00F678F8" w:rsidRDefault="0012210E" w:rsidP="00C57BE2">
      <w:pPr>
        <w:jc w:val="both"/>
        <w:rPr>
          <w:rtl/>
        </w:rPr>
      </w:pPr>
      <w:r w:rsidRPr="00F678F8">
        <w:rPr>
          <w:rStyle w:val="Appelnotedebasdep"/>
          <w:szCs w:val="24"/>
        </w:rPr>
        <w:footnoteRef/>
      </w:r>
      <w:r w:rsidRPr="00F678F8">
        <w:rPr>
          <w:rFonts w:hint="cs"/>
          <w:rtl/>
        </w:rPr>
        <w:t>- سورة النساء، الآية 35.</w:t>
      </w:r>
    </w:p>
  </w:footnote>
  <w:footnote w:id="69">
    <w:p w:rsidR="0012210E" w:rsidRPr="00C8415B" w:rsidRDefault="0012210E" w:rsidP="00C57BE2">
      <w:pPr>
        <w:pStyle w:val="Notedebasdepage"/>
        <w:jc w:val="both"/>
        <w:rPr>
          <w:sz w:val="24"/>
          <w:szCs w:val="24"/>
        </w:rPr>
      </w:pPr>
      <w:r w:rsidRPr="00C8415B">
        <w:rPr>
          <w:rStyle w:val="Appelnotedebasdep"/>
          <w:sz w:val="24"/>
          <w:szCs w:val="24"/>
        </w:rPr>
        <w:footnoteRef/>
      </w:r>
      <w:r w:rsidRPr="00C8415B">
        <w:rPr>
          <w:rFonts w:hint="cs"/>
          <w:sz w:val="24"/>
          <w:szCs w:val="24"/>
          <w:rtl/>
        </w:rPr>
        <w:t xml:space="preserve">- محمد </w:t>
      </w:r>
      <w:proofErr w:type="spellStart"/>
      <w:r w:rsidRPr="00C8415B">
        <w:rPr>
          <w:rFonts w:hint="cs"/>
          <w:sz w:val="24"/>
          <w:szCs w:val="24"/>
          <w:rtl/>
        </w:rPr>
        <w:t>محمد</w:t>
      </w:r>
      <w:proofErr w:type="spellEnd"/>
      <w:r w:rsidRPr="00C8415B">
        <w:rPr>
          <w:rFonts w:hint="cs"/>
          <w:sz w:val="24"/>
          <w:szCs w:val="24"/>
          <w:rtl/>
        </w:rPr>
        <w:t xml:space="preserve"> عبد اللطيف بن الخطيب، أوضح التفاسير المطبعة المصرية مكتبتها، ط6، 1964م، ج1، ص99.</w:t>
      </w:r>
    </w:p>
  </w:footnote>
  <w:footnote w:id="70">
    <w:p w:rsidR="0012210E" w:rsidRPr="00AA3D85" w:rsidRDefault="0012210E" w:rsidP="00C57BE2">
      <w:pPr>
        <w:pStyle w:val="Notedebasdepage"/>
        <w:jc w:val="both"/>
        <w:rPr>
          <w:sz w:val="24"/>
          <w:szCs w:val="24"/>
          <w:rtl/>
        </w:rPr>
      </w:pPr>
      <w:r w:rsidRPr="00AA3D85">
        <w:rPr>
          <w:rStyle w:val="Appelnotedebasdep"/>
          <w:sz w:val="24"/>
          <w:szCs w:val="24"/>
        </w:rPr>
        <w:footnoteRef/>
      </w:r>
      <w:r w:rsidRPr="00AA3D85">
        <w:rPr>
          <w:rFonts w:hint="cs"/>
          <w:sz w:val="24"/>
          <w:szCs w:val="24"/>
          <w:rtl/>
        </w:rPr>
        <w:t>- سورة النساء، الآية 141.</w:t>
      </w:r>
    </w:p>
  </w:footnote>
  <w:footnote w:id="71">
    <w:p w:rsidR="0012210E" w:rsidRPr="00AA3D85" w:rsidRDefault="0012210E" w:rsidP="00C57BE2">
      <w:pPr>
        <w:pStyle w:val="Notedebasdepage"/>
        <w:jc w:val="both"/>
        <w:rPr>
          <w:sz w:val="24"/>
          <w:szCs w:val="24"/>
          <w:rtl/>
        </w:rPr>
      </w:pPr>
      <w:r w:rsidRPr="00AA3D85">
        <w:rPr>
          <w:rStyle w:val="Appelnotedebasdep"/>
          <w:sz w:val="24"/>
          <w:szCs w:val="24"/>
        </w:rPr>
        <w:footnoteRef/>
      </w:r>
      <w:r w:rsidRPr="00AA3D85">
        <w:rPr>
          <w:rFonts w:hint="cs"/>
          <w:sz w:val="24"/>
          <w:szCs w:val="24"/>
          <w:rtl/>
        </w:rPr>
        <w:t>- علي حيدر خواجة أمين أفندي، المرجع السابق، ص696.</w:t>
      </w:r>
    </w:p>
  </w:footnote>
  <w:footnote w:id="72">
    <w:p w:rsidR="0012210E" w:rsidRPr="00AB3DE1" w:rsidRDefault="0012210E" w:rsidP="00C57BE2">
      <w:pPr>
        <w:pStyle w:val="Notedebasdepage"/>
        <w:jc w:val="both"/>
        <w:rPr>
          <w:sz w:val="24"/>
          <w:szCs w:val="24"/>
          <w:rtl/>
        </w:rPr>
      </w:pPr>
      <w:r w:rsidRPr="00AB3DE1">
        <w:rPr>
          <w:rStyle w:val="Appelnotedebasdep"/>
          <w:sz w:val="24"/>
          <w:szCs w:val="24"/>
        </w:rPr>
        <w:footnoteRef/>
      </w:r>
      <w:r w:rsidRPr="00AB3DE1">
        <w:rPr>
          <w:rFonts w:hint="cs"/>
          <w:sz w:val="24"/>
          <w:szCs w:val="24"/>
          <w:rtl/>
        </w:rPr>
        <w:t xml:space="preserve">- خالد عبد الرحمان العك، موسوعة الفقه المالكي، دار الحكمة، ط1، 1990، </w:t>
      </w:r>
      <w:r>
        <w:rPr>
          <w:rFonts w:hint="cs"/>
          <w:sz w:val="24"/>
          <w:szCs w:val="24"/>
          <w:rtl/>
        </w:rPr>
        <w:t>ج3</w:t>
      </w:r>
      <w:r w:rsidRPr="00AB3DE1">
        <w:rPr>
          <w:rFonts w:hint="cs"/>
          <w:sz w:val="24"/>
          <w:szCs w:val="24"/>
          <w:rtl/>
        </w:rPr>
        <w:t>، ص124.</w:t>
      </w:r>
    </w:p>
  </w:footnote>
  <w:footnote w:id="73">
    <w:p w:rsidR="0012210E" w:rsidRPr="00AB3DE1" w:rsidRDefault="0012210E" w:rsidP="00C57BE2">
      <w:pPr>
        <w:pStyle w:val="Notedebasdepage"/>
        <w:jc w:val="both"/>
        <w:rPr>
          <w:sz w:val="24"/>
          <w:szCs w:val="24"/>
          <w:rtl/>
        </w:rPr>
      </w:pPr>
      <w:r w:rsidRPr="00AB3DE1">
        <w:rPr>
          <w:rStyle w:val="Appelnotedebasdep"/>
          <w:sz w:val="24"/>
          <w:szCs w:val="24"/>
        </w:rPr>
        <w:footnoteRef/>
      </w:r>
      <w:r w:rsidRPr="00AB3DE1">
        <w:rPr>
          <w:rFonts w:hint="cs"/>
          <w:sz w:val="24"/>
          <w:szCs w:val="24"/>
          <w:rtl/>
        </w:rPr>
        <w:t xml:space="preserve">- الماوردي، الحاوي الكبير في فقه مذهب الإمام الشافعي، دار الكتب العلمية، لبنان، </w:t>
      </w:r>
      <w:proofErr w:type="spellStart"/>
      <w:r w:rsidRPr="00AB3DE1">
        <w:rPr>
          <w:rFonts w:hint="cs"/>
          <w:sz w:val="24"/>
          <w:szCs w:val="24"/>
          <w:rtl/>
        </w:rPr>
        <w:t>د.ط</w:t>
      </w:r>
      <w:proofErr w:type="spellEnd"/>
      <w:r w:rsidRPr="00AB3DE1">
        <w:rPr>
          <w:rFonts w:hint="cs"/>
          <w:sz w:val="24"/>
          <w:szCs w:val="24"/>
          <w:rtl/>
        </w:rPr>
        <w:t xml:space="preserve">، </w:t>
      </w:r>
      <w:r>
        <w:rPr>
          <w:rFonts w:hint="cs"/>
          <w:sz w:val="24"/>
          <w:szCs w:val="24"/>
          <w:rtl/>
        </w:rPr>
        <w:t>ج9</w:t>
      </w:r>
      <w:r w:rsidRPr="00AB3DE1">
        <w:rPr>
          <w:rFonts w:hint="cs"/>
          <w:sz w:val="24"/>
          <w:szCs w:val="24"/>
          <w:rtl/>
        </w:rPr>
        <w:t xml:space="preserve">، </w:t>
      </w:r>
      <w:r w:rsidRPr="00E124D5">
        <w:rPr>
          <w:rFonts w:hint="cs"/>
          <w:sz w:val="24"/>
          <w:szCs w:val="24"/>
          <w:rtl/>
        </w:rPr>
        <w:t>1993</w:t>
      </w:r>
      <w:r w:rsidRPr="00AB3DE1">
        <w:rPr>
          <w:rFonts w:hint="cs"/>
          <w:sz w:val="24"/>
          <w:szCs w:val="24"/>
          <w:rtl/>
        </w:rPr>
        <w:t>، ص605.</w:t>
      </w:r>
    </w:p>
  </w:footnote>
  <w:footnote w:id="74">
    <w:p w:rsidR="0012210E" w:rsidRPr="00AB3DE1" w:rsidRDefault="0012210E" w:rsidP="00C57BE2">
      <w:pPr>
        <w:pStyle w:val="Notedebasdepage"/>
        <w:jc w:val="both"/>
        <w:rPr>
          <w:sz w:val="24"/>
          <w:szCs w:val="24"/>
          <w:rtl/>
        </w:rPr>
      </w:pPr>
      <w:r w:rsidRPr="00AB3DE1">
        <w:rPr>
          <w:rStyle w:val="Appelnotedebasdep"/>
          <w:sz w:val="24"/>
          <w:szCs w:val="24"/>
        </w:rPr>
        <w:footnoteRef/>
      </w:r>
      <w:r w:rsidRPr="00AB3DE1">
        <w:rPr>
          <w:rFonts w:hint="cs"/>
          <w:sz w:val="24"/>
          <w:szCs w:val="24"/>
          <w:rtl/>
        </w:rPr>
        <w:t xml:space="preserve">- عبد المؤمن بالباقي، التفريق القضائي بين الزوجين في الفقه الإسلامي، دار الهدى، </w:t>
      </w:r>
      <w:proofErr w:type="spellStart"/>
      <w:r w:rsidRPr="00AB3DE1">
        <w:rPr>
          <w:rFonts w:hint="cs"/>
          <w:sz w:val="24"/>
          <w:szCs w:val="24"/>
          <w:rtl/>
        </w:rPr>
        <w:t>د.ط</w:t>
      </w:r>
      <w:proofErr w:type="spellEnd"/>
      <w:r w:rsidRPr="00AB3DE1">
        <w:rPr>
          <w:rFonts w:hint="cs"/>
          <w:sz w:val="24"/>
          <w:szCs w:val="24"/>
          <w:rtl/>
        </w:rPr>
        <w:t>، 2001، ص120.</w:t>
      </w:r>
    </w:p>
  </w:footnote>
  <w:footnote w:id="75">
    <w:p w:rsidR="0012210E" w:rsidRPr="005B6053" w:rsidRDefault="0012210E" w:rsidP="00C57BE2">
      <w:pPr>
        <w:pStyle w:val="Notedebasdepage"/>
        <w:jc w:val="both"/>
        <w:rPr>
          <w:sz w:val="24"/>
          <w:szCs w:val="24"/>
          <w:rtl/>
        </w:rPr>
      </w:pPr>
      <w:r w:rsidRPr="005B6053">
        <w:rPr>
          <w:rStyle w:val="Appelnotedebasdep"/>
          <w:sz w:val="24"/>
          <w:szCs w:val="24"/>
        </w:rPr>
        <w:footnoteRef/>
      </w:r>
      <w:r w:rsidRPr="005B6053">
        <w:rPr>
          <w:rFonts w:hint="cs"/>
          <w:sz w:val="24"/>
          <w:szCs w:val="24"/>
          <w:rtl/>
        </w:rPr>
        <w:t>- سورة النساء، الآية 34.</w:t>
      </w:r>
    </w:p>
  </w:footnote>
  <w:footnote w:id="76">
    <w:p w:rsidR="0012210E" w:rsidRPr="00E124D5" w:rsidRDefault="0012210E" w:rsidP="00C57BE2">
      <w:pPr>
        <w:pStyle w:val="Notedebasdepage"/>
        <w:jc w:val="both"/>
        <w:rPr>
          <w:sz w:val="24"/>
          <w:szCs w:val="24"/>
          <w:rtl/>
        </w:rPr>
      </w:pPr>
      <w:r w:rsidRPr="00E124D5">
        <w:rPr>
          <w:rStyle w:val="Appelnotedebasdep"/>
          <w:sz w:val="24"/>
          <w:szCs w:val="24"/>
        </w:rPr>
        <w:footnoteRef/>
      </w:r>
      <w:r w:rsidRPr="00E124D5">
        <w:rPr>
          <w:rFonts w:hint="cs"/>
          <w:sz w:val="24"/>
          <w:szCs w:val="24"/>
          <w:rtl/>
        </w:rPr>
        <w:t xml:space="preserve">- </w:t>
      </w:r>
      <w:r w:rsidRPr="00302E31">
        <w:rPr>
          <w:rFonts w:hint="cs"/>
          <w:sz w:val="24"/>
          <w:szCs w:val="24"/>
          <w:rtl/>
        </w:rPr>
        <w:t>المدونة 2/276.</w:t>
      </w:r>
    </w:p>
  </w:footnote>
  <w:footnote w:id="77">
    <w:p w:rsidR="0012210E" w:rsidRDefault="0012210E" w:rsidP="00C57BE2">
      <w:pPr>
        <w:pStyle w:val="Notedebasdepage"/>
        <w:jc w:val="both"/>
        <w:rPr>
          <w:rtl/>
        </w:rPr>
      </w:pPr>
      <w:r w:rsidRPr="00E124D5">
        <w:rPr>
          <w:rStyle w:val="Appelnotedebasdep"/>
          <w:sz w:val="24"/>
          <w:szCs w:val="24"/>
        </w:rPr>
        <w:footnoteRef/>
      </w:r>
      <w:r w:rsidRPr="00E124D5">
        <w:rPr>
          <w:rFonts w:hint="cs"/>
          <w:sz w:val="24"/>
          <w:szCs w:val="24"/>
          <w:rtl/>
        </w:rPr>
        <w:t>- نظام الدين البلخي</w:t>
      </w:r>
      <w:r w:rsidRPr="005B6053">
        <w:rPr>
          <w:rFonts w:hint="cs"/>
          <w:sz w:val="24"/>
          <w:szCs w:val="24"/>
          <w:rtl/>
        </w:rPr>
        <w:t xml:space="preserve">، الفتاوى </w:t>
      </w:r>
      <w:proofErr w:type="spellStart"/>
      <w:r w:rsidRPr="005B6053">
        <w:rPr>
          <w:rFonts w:hint="cs"/>
          <w:sz w:val="24"/>
          <w:szCs w:val="24"/>
          <w:rtl/>
        </w:rPr>
        <w:t>ال</w:t>
      </w:r>
      <w:r>
        <w:rPr>
          <w:rFonts w:hint="cs"/>
          <w:sz w:val="24"/>
          <w:szCs w:val="24"/>
          <w:rtl/>
        </w:rPr>
        <w:t>م</w:t>
      </w:r>
      <w:r w:rsidRPr="005B6053">
        <w:rPr>
          <w:rFonts w:hint="cs"/>
          <w:sz w:val="24"/>
          <w:szCs w:val="24"/>
          <w:rtl/>
        </w:rPr>
        <w:t>ه</w:t>
      </w:r>
      <w:r w:rsidRPr="000D5DBF">
        <w:rPr>
          <w:rFonts w:hint="cs"/>
          <w:sz w:val="24"/>
          <w:szCs w:val="24"/>
          <w:rtl/>
        </w:rPr>
        <w:t>ن</w:t>
      </w:r>
      <w:r w:rsidRPr="005B6053">
        <w:rPr>
          <w:rFonts w:hint="cs"/>
          <w:sz w:val="24"/>
          <w:szCs w:val="24"/>
          <w:rtl/>
        </w:rPr>
        <w:t>دية</w:t>
      </w:r>
      <w:proofErr w:type="spellEnd"/>
      <w:r w:rsidRPr="005B6053">
        <w:rPr>
          <w:rFonts w:hint="cs"/>
          <w:sz w:val="24"/>
          <w:szCs w:val="24"/>
          <w:rtl/>
        </w:rPr>
        <w:t xml:space="preserve"> في مذهب الإمام الأعظم أبي حنيفة النعمان، دار صادر، بيروت، ط2، 1991، ج3، ص398.</w:t>
      </w:r>
    </w:p>
  </w:footnote>
  <w:footnote w:id="78">
    <w:p w:rsidR="0012210E" w:rsidRDefault="0012210E" w:rsidP="00C57BE2">
      <w:pPr>
        <w:pStyle w:val="Notedebasdepage"/>
        <w:jc w:val="both"/>
      </w:pPr>
      <w:r w:rsidRPr="001F575F">
        <w:rPr>
          <w:rStyle w:val="Appelnotedebasdep"/>
          <w:sz w:val="24"/>
          <w:szCs w:val="24"/>
        </w:rPr>
        <w:footnoteRef/>
      </w:r>
      <w:r w:rsidRPr="001F575F">
        <w:rPr>
          <w:rFonts w:hint="cs"/>
          <w:sz w:val="24"/>
          <w:szCs w:val="24"/>
          <w:rtl/>
        </w:rPr>
        <w:t>- سورة النساء، الآية35.</w:t>
      </w:r>
    </w:p>
  </w:footnote>
  <w:footnote w:id="79">
    <w:p w:rsidR="0012210E" w:rsidRDefault="0012210E" w:rsidP="00C57BE2">
      <w:pPr>
        <w:pStyle w:val="Notedebasdepage"/>
        <w:jc w:val="both"/>
        <w:rPr>
          <w:rtl/>
        </w:rPr>
      </w:pPr>
      <w:r w:rsidRPr="00387BCF">
        <w:rPr>
          <w:rStyle w:val="Appelnotedebasdep"/>
          <w:sz w:val="24"/>
          <w:szCs w:val="24"/>
        </w:rPr>
        <w:footnoteRef/>
      </w:r>
      <w:r w:rsidRPr="00387BCF">
        <w:rPr>
          <w:rFonts w:hint="cs"/>
          <w:sz w:val="24"/>
          <w:szCs w:val="24"/>
          <w:rtl/>
        </w:rPr>
        <w:t xml:space="preserve">- </w:t>
      </w:r>
      <w:r w:rsidRPr="00E124D5">
        <w:rPr>
          <w:rFonts w:hint="cs"/>
          <w:sz w:val="24"/>
          <w:szCs w:val="24"/>
          <w:rtl/>
        </w:rPr>
        <w:t>شمس الدين الرملي</w:t>
      </w:r>
      <w:r w:rsidRPr="00387BCF">
        <w:rPr>
          <w:rFonts w:hint="cs"/>
          <w:sz w:val="24"/>
          <w:szCs w:val="24"/>
          <w:rtl/>
        </w:rPr>
        <w:t>، نهاية المحتاج إلى شرح المنهاج، دار إحياء التراث العربي</w:t>
      </w:r>
      <w:r>
        <w:rPr>
          <w:rFonts w:hint="cs"/>
          <w:sz w:val="24"/>
          <w:szCs w:val="24"/>
          <w:rtl/>
        </w:rPr>
        <w:t>، بيروت</w:t>
      </w:r>
      <w:r w:rsidRPr="00387BCF">
        <w:rPr>
          <w:rFonts w:hint="cs"/>
          <w:sz w:val="24"/>
          <w:szCs w:val="24"/>
          <w:rtl/>
        </w:rPr>
        <w:t>، ط3، 1992، ج6، ص392.</w:t>
      </w:r>
    </w:p>
  </w:footnote>
  <w:footnote w:id="80">
    <w:p w:rsidR="0012210E" w:rsidRDefault="0012210E" w:rsidP="00C57BE2">
      <w:pPr>
        <w:pStyle w:val="Notedebasdepage"/>
        <w:jc w:val="both"/>
        <w:rPr>
          <w:rtl/>
        </w:rPr>
      </w:pPr>
      <w:r w:rsidRPr="00105AEE">
        <w:rPr>
          <w:rStyle w:val="Appelnotedebasdep"/>
          <w:sz w:val="24"/>
          <w:szCs w:val="24"/>
        </w:rPr>
        <w:footnoteRef/>
      </w:r>
      <w:r w:rsidRPr="00105AEE">
        <w:rPr>
          <w:rFonts w:hint="cs"/>
          <w:sz w:val="24"/>
          <w:szCs w:val="24"/>
          <w:rtl/>
        </w:rPr>
        <w:t xml:space="preserve">- سليمان </w:t>
      </w:r>
      <w:proofErr w:type="spellStart"/>
      <w:r>
        <w:rPr>
          <w:rFonts w:hint="cs"/>
          <w:sz w:val="24"/>
          <w:szCs w:val="24"/>
          <w:rtl/>
        </w:rPr>
        <w:t>إ</w:t>
      </w:r>
      <w:r w:rsidRPr="00105AEE">
        <w:rPr>
          <w:rFonts w:hint="cs"/>
          <w:sz w:val="24"/>
          <w:szCs w:val="24"/>
          <w:rtl/>
        </w:rPr>
        <w:t>بن</w:t>
      </w:r>
      <w:proofErr w:type="spellEnd"/>
      <w:r w:rsidRPr="00105AEE">
        <w:rPr>
          <w:rFonts w:hint="cs"/>
          <w:sz w:val="24"/>
          <w:szCs w:val="24"/>
          <w:rtl/>
        </w:rPr>
        <w:t xml:space="preserve"> محمد </w:t>
      </w:r>
      <w:proofErr w:type="spellStart"/>
      <w:r w:rsidRPr="00105AEE">
        <w:rPr>
          <w:rFonts w:hint="cs"/>
          <w:sz w:val="24"/>
          <w:szCs w:val="24"/>
          <w:rtl/>
        </w:rPr>
        <w:t>الب</w:t>
      </w:r>
      <w:r>
        <w:rPr>
          <w:rFonts w:hint="cs"/>
          <w:sz w:val="24"/>
          <w:szCs w:val="24"/>
          <w:rtl/>
        </w:rPr>
        <w:t>حيرمي</w:t>
      </w:r>
      <w:proofErr w:type="spellEnd"/>
      <w:r>
        <w:rPr>
          <w:rFonts w:hint="cs"/>
          <w:sz w:val="24"/>
          <w:szCs w:val="24"/>
          <w:rtl/>
        </w:rPr>
        <w:t xml:space="preserve">، تحفة الحبيب </w:t>
      </w:r>
      <w:r w:rsidRPr="00105AEE">
        <w:rPr>
          <w:rFonts w:hint="cs"/>
          <w:sz w:val="24"/>
          <w:szCs w:val="24"/>
          <w:rtl/>
        </w:rPr>
        <w:t>على شرح الخطيب، دار الكتب العلمية، لبنان، ط1، 1996، ج4، ص257.</w:t>
      </w:r>
    </w:p>
  </w:footnote>
  <w:footnote w:id="81">
    <w:p w:rsidR="0012210E" w:rsidRDefault="0012210E" w:rsidP="00C57BE2">
      <w:pPr>
        <w:pStyle w:val="Notedebasdepage"/>
        <w:jc w:val="both"/>
        <w:rPr>
          <w:rtl/>
        </w:rPr>
      </w:pPr>
      <w:r w:rsidRPr="00105AEE">
        <w:rPr>
          <w:rStyle w:val="Appelnotedebasdep"/>
          <w:sz w:val="24"/>
          <w:szCs w:val="24"/>
        </w:rPr>
        <w:footnoteRef/>
      </w:r>
      <w:r w:rsidRPr="00105AEE">
        <w:rPr>
          <w:rFonts w:hint="cs"/>
          <w:sz w:val="24"/>
          <w:szCs w:val="24"/>
          <w:rtl/>
        </w:rPr>
        <w:t>- الماوردي، المرجع السابق، ص602.</w:t>
      </w:r>
    </w:p>
  </w:footnote>
  <w:footnote w:id="82">
    <w:p w:rsidR="0012210E" w:rsidRDefault="0012210E" w:rsidP="00C57BE2">
      <w:pPr>
        <w:pStyle w:val="Notedebasdepage"/>
        <w:jc w:val="both"/>
        <w:rPr>
          <w:rtl/>
        </w:rPr>
      </w:pPr>
      <w:r w:rsidRPr="006E78D5">
        <w:rPr>
          <w:rStyle w:val="Appelnotedebasdep"/>
          <w:sz w:val="24"/>
          <w:szCs w:val="24"/>
        </w:rPr>
        <w:footnoteRef/>
      </w:r>
      <w:r w:rsidRPr="006E78D5">
        <w:rPr>
          <w:rFonts w:hint="cs"/>
          <w:sz w:val="24"/>
          <w:szCs w:val="24"/>
          <w:rtl/>
        </w:rPr>
        <w:t>- أبو الوليد الباجي، المنتقى شرح موطأ مالك، دار الكتب العلمية، لبنان، ط1، 1991، ج5، ص405.</w:t>
      </w:r>
    </w:p>
  </w:footnote>
  <w:footnote w:id="83">
    <w:p w:rsidR="0012210E" w:rsidRDefault="0012210E" w:rsidP="00C57BE2">
      <w:pPr>
        <w:pStyle w:val="Notedebasdepage"/>
        <w:jc w:val="both"/>
        <w:rPr>
          <w:rtl/>
        </w:rPr>
      </w:pPr>
      <w:r w:rsidRPr="0018358C">
        <w:rPr>
          <w:rStyle w:val="Appelnotedebasdep"/>
          <w:sz w:val="24"/>
          <w:szCs w:val="24"/>
        </w:rPr>
        <w:footnoteRef/>
      </w:r>
      <w:r w:rsidRPr="0018358C">
        <w:rPr>
          <w:rFonts w:hint="cs"/>
          <w:sz w:val="24"/>
          <w:szCs w:val="24"/>
          <w:rtl/>
        </w:rPr>
        <w:t>- عبد العزيز سعد، الزواج والطلاق في قانون الأسرة الجزائري، دار هومة، الجزائر، ط3، 1996، ص348.</w:t>
      </w:r>
    </w:p>
  </w:footnote>
  <w:footnote w:id="84">
    <w:p w:rsidR="0012210E" w:rsidRDefault="0012210E" w:rsidP="00C57BE2">
      <w:pPr>
        <w:pStyle w:val="Notedebasdepage"/>
        <w:jc w:val="both"/>
        <w:rPr>
          <w:rtl/>
        </w:rPr>
      </w:pPr>
      <w:r w:rsidRPr="0018358C">
        <w:rPr>
          <w:rStyle w:val="Appelnotedebasdep"/>
          <w:sz w:val="24"/>
          <w:szCs w:val="24"/>
        </w:rPr>
        <w:footnoteRef/>
      </w:r>
      <w:r w:rsidRPr="0018358C">
        <w:rPr>
          <w:rFonts w:hint="cs"/>
          <w:sz w:val="24"/>
          <w:szCs w:val="24"/>
          <w:rtl/>
        </w:rPr>
        <w:t>- عبد المؤمن بالباقي، المرجع السابق، ص123.</w:t>
      </w:r>
    </w:p>
  </w:footnote>
  <w:footnote w:id="85">
    <w:p w:rsidR="0012210E" w:rsidRDefault="0012210E" w:rsidP="00C57BE2">
      <w:pPr>
        <w:pStyle w:val="Notedebasdepage"/>
        <w:jc w:val="both"/>
        <w:rPr>
          <w:rtl/>
        </w:rPr>
      </w:pPr>
      <w:r w:rsidRPr="0018358C">
        <w:rPr>
          <w:rStyle w:val="Appelnotedebasdep"/>
          <w:sz w:val="24"/>
          <w:szCs w:val="24"/>
        </w:rPr>
        <w:footnoteRef/>
      </w:r>
      <w:r w:rsidRPr="0018358C">
        <w:rPr>
          <w:rFonts w:hint="cs"/>
          <w:sz w:val="24"/>
          <w:szCs w:val="24"/>
          <w:rtl/>
        </w:rPr>
        <w:t>- سورة النساء، الآية 128.</w:t>
      </w:r>
    </w:p>
  </w:footnote>
  <w:footnote w:id="86">
    <w:p w:rsidR="0012210E" w:rsidRDefault="0012210E" w:rsidP="00C57BE2">
      <w:pPr>
        <w:pStyle w:val="Notedebasdepage"/>
        <w:jc w:val="both"/>
        <w:rPr>
          <w:rtl/>
        </w:rPr>
      </w:pPr>
      <w:r w:rsidRPr="0018358C">
        <w:rPr>
          <w:rStyle w:val="Appelnotedebasdep"/>
          <w:sz w:val="24"/>
          <w:szCs w:val="24"/>
        </w:rPr>
        <w:footnoteRef/>
      </w:r>
      <w:r w:rsidRPr="0018358C">
        <w:rPr>
          <w:rFonts w:hint="cs"/>
          <w:sz w:val="24"/>
          <w:szCs w:val="24"/>
          <w:rtl/>
        </w:rPr>
        <w:t xml:space="preserve">- الجصاص، أحكام القرآن، دار الكتب العلمية، </w:t>
      </w:r>
      <w:r>
        <w:rPr>
          <w:rFonts w:hint="cs"/>
          <w:sz w:val="24"/>
          <w:szCs w:val="24"/>
          <w:rtl/>
        </w:rPr>
        <w:t xml:space="preserve">بيروت، </w:t>
      </w:r>
      <w:proofErr w:type="spellStart"/>
      <w:r>
        <w:rPr>
          <w:rFonts w:hint="cs"/>
          <w:sz w:val="24"/>
          <w:szCs w:val="24"/>
          <w:rtl/>
        </w:rPr>
        <w:t>د.ط</w:t>
      </w:r>
      <w:proofErr w:type="spellEnd"/>
      <w:r>
        <w:rPr>
          <w:rFonts w:hint="cs"/>
          <w:sz w:val="24"/>
          <w:szCs w:val="24"/>
          <w:rtl/>
        </w:rPr>
        <w:t>، ج3، ص241.</w:t>
      </w:r>
    </w:p>
  </w:footnote>
  <w:footnote w:id="87">
    <w:p w:rsidR="0012210E" w:rsidRDefault="0012210E" w:rsidP="00C57BE2">
      <w:pPr>
        <w:pStyle w:val="Notedebasdepage"/>
        <w:jc w:val="both"/>
        <w:rPr>
          <w:rtl/>
        </w:rPr>
      </w:pPr>
      <w:r w:rsidRPr="00B9537C">
        <w:rPr>
          <w:rStyle w:val="Appelnotedebasdep"/>
          <w:sz w:val="24"/>
          <w:szCs w:val="24"/>
        </w:rPr>
        <w:footnoteRef/>
      </w:r>
      <w:r>
        <w:rPr>
          <w:rFonts w:hint="cs"/>
          <w:sz w:val="24"/>
          <w:szCs w:val="24"/>
          <w:rtl/>
        </w:rPr>
        <w:t xml:space="preserve">- الأنصاري حسن </w:t>
      </w:r>
      <w:proofErr w:type="spellStart"/>
      <w:r>
        <w:rPr>
          <w:rFonts w:hint="cs"/>
          <w:sz w:val="24"/>
          <w:szCs w:val="24"/>
          <w:rtl/>
        </w:rPr>
        <w:t>النيداني</w:t>
      </w:r>
      <w:proofErr w:type="spellEnd"/>
      <w:r>
        <w:rPr>
          <w:rFonts w:hint="cs"/>
          <w:sz w:val="24"/>
          <w:szCs w:val="24"/>
          <w:rtl/>
        </w:rPr>
        <w:t xml:space="preserve">، الصلح القضائي، دار الجامعة الجديدة، الإسكندرية، </w:t>
      </w:r>
      <w:proofErr w:type="spellStart"/>
      <w:r>
        <w:rPr>
          <w:rFonts w:hint="cs"/>
          <w:sz w:val="24"/>
          <w:szCs w:val="24"/>
          <w:rtl/>
        </w:rPr>
        <w:t>د.ط</w:t>
      </w:r>
      <w:proofErr w:type="spellEnd"/>
      <w:r>
        <w:rPr>
          <w:rFonts w:hint="cs"/>
          <w:sz w:val="24"/>
          <w:szCs w:val="24"/>
          <w:rtl/>
        </w:rPr>
        <w:t xml:space="preserve">، 2001، ص207. </w:t>
      </w:r>
    </w:p>
  </w:footnote>
  <w:footnote w:id="88">
    <w:p w:rsidR="0012210E" w:rsidRPr="00747527" w:rsidRDefault="0012210E" w:rsidP="00C57BE2">
      <w:pPr>
        <w:pStyle w:val="Notedebasdepage"/>
        <w:jc w:val="both"/>
        <w:rPr>
          <w:sz w:val="24"/>
          <w:szCs w:val="24"/>
          <w:rtl/>
        </w:rPr>
      </w:pPr>
      <w:r w:rsidRPr="0028773E">
        <w:rPr>
          <w:rStyle w:val="Appelnotedebasdep"/>
          <w:sz w:val="24"/>
          <w:szCs w:val="24"/>
        </w:rPr>
        <w:footnoteRef/>
      </w:r>
      <w:r w:rsidRPr="0028773E">
        <w:rPr>
          <w:rFonts w:hint="cs"/>
          <w:sz w:val="24"/>
          <w:szCs w:val="24"/>
          <w:rtl/>
        </w:rPr>
        <w:t xml:space="preserve">- </w:t>
      </w:r>
      <w:r>
        <w:rPr>
          <w:rFonts w:hint="cs"/>
          <w:sz w:val="24"/>
          <w:szCs w:val="24"/>
          <w:rtl/>
        </w:rPr>
        <w:t>الجصاص، مرجع سابق، ج3، ص154.</w:t>
      </w:r>
    </w:p>
  </w:footnote>
  <w:footnote w:id="89">
    <w:p w:rsidR="0012210E" w:rsidRDefault="0012210E" w:rsidP="00C57BE2">
      <w:pPr>
        <w:pStyle w:val="Notedebasdepage"/>
        <w:jc w:val="both"/>
        <w:rPr>
          <w:rtl/>
        </w:rPr>
      </w:pPr>
      <w:r w:rsidRPr="00FD2C8B">
        <w:rPr>
          <w:rStyle w:val="Appelnotedebasdep"/>
          <w:sz w:val="24"/>
          <w:szCs w:val="24"/>
        </w:rPr>
        <w:footnoteRef/>
      </w:r>
      <w:r w:rsidRPr="00FD2C8B">
        <w:rPr>
          <w:rFonts w:hint="cs"/>
          <w:sz w:val="24"/>
          <w:szCs w:val="24"/>
          <w:rtl/>
        </w:rPr>
        <w:t>- فضيل سعد، شرح قانون الأسرة الجزائري (الزواج والطلاق)، المؤسسة الوطنية للكتاب، الجزائر، 1986، ج1، ص298.</w:t>
      </w:r>
    </w:p>
  </w:footnote>
  <w:footnote w:id="90">
    <w:p w:rsidR="0012210E" w:rsidRDefault="0012210E" w:rsidP="00C57BE2">
      <w:pPr>
        <w:pStyle w:val="Notedebasdepage"/>
        <w:jc w:val="both"/>
        <w:rPr>
          <w:rtl/>
        </w:rPr>
      </w:pPr>
      <w:r w:rsidRPr="00FD2C8B">
        <w:rPr>
          <w:rStyle w:val="Appelnotedebasdep"/>
          <w:sz w:val="24"/>
          <w:szCs w:val="24"/>
        </w:rPr>
        <w:footnoteRef/>
      </w:r>
      <w:r w:rsidRPr="00FD2C8B">
        <w:rPr>
          <w:rFonts w:hint="cs"/>
          <w:sz w:val="24"/>
          <w:szCs w:val="24"/>
          <w:rtl/>
        </w:rPr>
        <w:t xml:space="preserve">- وهبة </w:t>
      </w:r>
      <w:proofErr w:type="spellStart"/>
      <w:r w:rsidRPr="00FD2C8B">
        <w:rPr>
          <w:rFonts w:hint="cs"/>
          <w:sz w:val="24"/>
          <w:szCs w:val="24"/>
          <w:rtl/>
        </w:rPr>
        <w:t>الزحيلي</w:t>
      </w:r>
      <w:proofErr w:type="spellEnd"/>
      <w:r w:rsidRPr="00FD2C8B">
        <w:rPr>
          <w:rFonts w:hint="cs"/>
          <w:sz w:val="24"/>
          <w:szCs w:val="24"/>
          <w:rtl/>
        </w:rPr>
        <w:t>، الفقه الإسلامي وأدلته، دار الفكر المعاصر، بيروت، ط4، 1996، ج9، ص7063.</w:t>
      </w:r>
    </w:p>
  </w:footnote>
  <w:footnote w:id="91">
    <w:p w:rsidR="0012210E" w:rsidRDefault="0012210E" w:rsidP="00C57BE2">
      <w:pPr>
        <w:pStyle w:val="Notedebasdepage"/>
        <w:jc w:val="both"/>
        <w:rPr>
          <w:rtl/>
        </w:rPr>
      </w:pPr>
      <w:r w:rsidRPr="009C7F55">
        <w:rPr>
          <w:rStyle w:val="Appelnotedebasdep"/>
          <w:sz w:val="24"/>
          <w:szCs w:val="24"/>
        </w:rPr>
        <w:footnoteRef/>
      </w:r>
      <w:r w:rsidRPr="009C7F55">
        <w:rPr>
          <w:rFonts w:hint="cs"/>
          <w:sz w:val="24"/>
          <w:szCs w:val="24"/>
          <w:rtl/>
        </w:rPr>
        <w:t xml:space="preserve">- محمد بشير </w:t>
      </w:r>
      <w:proofErr w:type="spellStart"/>
      <w:r w:rsidRPr="009C7F55">
        <w:rPr>
          <w:rFonts w:hint="cs"/>
          <w:sz w:val="24"/>
          <w:szCs w:val="24"/>
          <w:rtl/>
        </w:rPr>
        <w:t>الشفقه</w:t>
      </w:r>
      <w:proofErr w:type="spellEnd"/>
      <w:r w:rsidRPr="009C7F55">
        <w:rPr>
          <w:rFonts w:hint="cs"/>
          <w:sz w:val="24"/>
          <w:szCs w:val="24"/>
          <w:rtl/>
        </w:rPr>
        <w:t>، فقه المالكي في ثوبه الجديد، دار القلم، دمشق، ط2، 2001، ج2، ص636.</w:t>
      </w:r>
    </w:p>
  </w:footnote>
  <w:footnote w:id="92">
    <w:p w:rsidR="0012210E" w:rsidRPr="00614027" w:rsidRDefault="0012210E" w:rsidP="00C57BE2">
      <w:pPr>
        <w:pStyle w:val="Notedebasdepage"/>
        <w:jc w:val="both"/>
        <w:rPr>
          <w:sz w:val="24"/>
          <w:szCs w:val="24"/>
        </w:rPr>
      </w:pPr>
      <w:r w:rsidRPr="00614027">
        <w:rPr>
          <w:rStyle w:val="Appelnotedebasdep"/>
          <w:sz w:val="24"/>
          <w:szCs w:val="24"/>
        </w:rPr>
        <w:footnoteRef/>
      </w:r>
      <w:r w:rsidRPr="00614027">
        <w:rPr>
          <w:rFonts w:hint="cs"/>
          <w:sz w:val="24"/>
          <w:szCs w:val="24"/>
          <w:rtl/>
        </w:rPr>
        <w:t xml:space="preserve">- أبو عبد الله، منح الجليل شرح مختصر خليل، دار الفكر، بيروت، </w:t>
      </w:r>
      <w:proofErr w:type="spellStart"/>
      <w:r w:rsidRPr="00614027">
        <w:rPr>
          <w:rFonts w:hint="cs"/>
          <w:sz w:val="24"/>
          <w:szCs w:val="24"/>
          <w:rtl/>
        </w:rPr>
        <w:t>د.ط</w:t>
      </w:r>
      <w:proofErr w:type="spellEnd"/>
      <w:r w:rsidRPr="00614027">
        <w:rPr>
          <w:rFonts w:hint="cs"/>
          <w:sz w:val="24"/>
          <w:szCs w:val="24"/>
          <w:rtl/>
        </w:rPr>
        <w:t>، 1989م، ج3، ص554.</w:t>
      </w:r>
    </w:p>
  </w:footnote>
  <w:footnote w:id="93">
    <w:p w:rsidR="0012210E" w:rsidRDefault="0012210E" w:rsidP="00C57BE2">
      <w:pPr>
        <w:pStyle w:val="Notedebasdepage"/>
        <w:jc w:val="both"/>
        <w:rPr>
          <w:rtl/>
        </w:rPr>
      </w:pPr>
      <w:r w:rsidRPr="00E061E6">
        <w:rPr>
          <w:rStyle w:val="Appelnotedebasdep"/>
          <w:sz w:val="24"/>
          <w:szCs w:val="24"/>
        </w:rPr>
        <w:footnoteRef/>
      </w:r>
      <w:r w:rsidRPr="00E061E6">
        <w:rPr>
          <w:rFonts w:hint="cs"/>
          <w:sz w:val="24"/>
          <w:szCs w:val="24"/>
          <w:rtl/>
        </w:rPr>
        <w:t>- ابن رشد، بداية المجتهد ونهاية المقتصد، دار الجيل، بيروت، ط1، 1989، ج2، ص165.</w:t>
      </w:r>
    </w:p>
  </w:footnote>
  <w:footnote w:id="94">
    <w:p w:rsidR="0012210E" w:rsidRPr="00900603" w:rsidRDefault="0012210E" w:rsidP="00C57BE2">
      <w:pPr>
        <w:pStyle w:val="Notedebasdepage"/>
        <w:jc w:val="both"/>
        <w:rPr>
          <w:sz w:val="24"/>
          <w:szCs w:val="24"/>
        </w:rPr>
      </w:pPr>
      <w:r w:rsidRPr="00900603">
        <w:rPr>
          <w:rStyle w:val="Appelnotedebasdep"/>
          <w:sz w:val="24"/>
          <w:szCs w:val="24"/>
        </w:rPr>
        <w:footnoteRef/>
      </w:r>
      <w:r w:rsidRPr="00900603">
        <w:rPr>
          <w:rFonts w:hint="cs"/>
          <w:sz w:val="24"/>
          <w:szCs w:val="24"/>
          <w:rtl/>
        </w:rPr>
        <w:t>- الدسوقي، مرجع سابق،ج3</w:t>
      </w:r>
      <w:r>
        <w:rPr>
          <w:rFonts w:hint="cs"/>
          <w:sz w:val="24"/>
          <w:szCs w:val="24"/>
          <w:rtl/>
        </w:rPr>
        <w:t>،</w:t>
      </w:r>
      <w:r w:rsidRPr="00900603">
        <w:rPr>
          <w:rFonts w:hint="cs"/>
          <w:sz w:val="24"/>
          <w:szCs w:val="24"/>
          <w:rtl/>
        </w:rPr>
        <w:t xml:space="preserve"> ص214.</w:t>
      </w:r>
    </w:p>
  </w:footnote>
  <w:footnote w:id="95">
    <w:p w:rsidR="0012210E" w:rsidRDefault="0012210E" w:rsidP="00C57BE2">
      <w:pPr>
        <w:pStyle w:val="Notedebasdepage"/>
        <w:jc w:val="both"/>
        <w:rPr>
          <w:rtl/>
        </w:rPr>
      </w:pPr>
      <w:r w:rsidRPr="001A4747">
        <w:rPr>
          <w:rStyle w:val="Appelnotedebasdep"/>
          <w:sz w:val="24"/>
          <w:szCs w:val="24"/>
        </w:rPr>
        <w:footnoteRef/>
      </w:r>
      <w:r w:rsidRPr="001A4747">
        <w:rPr>
          <w:rFonts w:hint="cs"/>
          <w:sz w:val="24"/>
          <w:szCs w:val="24"/>
          <w:rtl/>
        </w:rPr>
        <w:t>- عبد العزيز سعد، المرجع السابق، ص348.</w:t>
      </w:r>
    </w:p>
  </w:footnote>
  <w:footnote w:id="96">
    <w:p w:rsidR="0012210E" w:rsidRPr="00EC7AFF" w:rsidRDefault="0012210E" w:rsidP="00C57BE2">
      <w:pPr>
        <w:pStyle w:val="Notedebasdepage"/>
        <w:jc w:val="both"/>
        <w:rPr>
          <w:sz w:val="24"/>
          <w:szCs w:val="24"/>
          <w:rtl/>
        </w:rPr>
      </w:pPr>
      <w:r w:rsidRPr="00EC7AFF">
        <w:rPr>
          <w:rStyle w:val="Appelnotedebasdep"/>
          <w:sz w:val="24"/>
          <w:szCs w:val="24"/>
        </w:rPr>
        <w:footnoteRef/>
      </w:r>
      <w:r w:rsidRPr="00EC7AFF">
        <w:rPr>
          <w:rFonts w:hint="cs"/>
          <w:sz w:val="24"/>
          <w:szCs w:val="24"/>
          <w:rtl/>
        </w:rPr>
        <w:t xml:space="preserve">- الأنصاري حسن </w:t>
      </w:r>
      <w:proofErr w:type="spellStart"/>
      <w:r w:rsidRPr="00EC7AFF">
        <w:rPr>
          <w:rFonts w:hint="cs"/>
          <w:sz w:val="24"/>
          <w:szCs w:val="24"/>
          <w:rtl/>
        </w:rPr>
        <w:t>النيداني</w:t>
      </w:r>
      <w:proofErr w:type="spellEnd"/>
      <w:r w:rsidRPr="00EC7AFF">
        <w:rPr>
          <w:rFonts w:hint="cs"/>
          <w:sz w:val="24"/>
          <w:szCs w:val="24"/>
          <w:rtl/>
        </w:rPr>
        <w:t>، المرجع السابق، ص225.</w:t>
      </w:r>
    </w:p>
  </w:footnote>
  <w:footnote w:id="97">
    <w:p w:rsidR="0012210E" w:rsidRDefault="0012210E" w:rsidP="00C57BE2">
      <w:pPr>
        <w:pStyle w:val="Notedebasdepage"/>
        <w:jc w:val="both"/>
        <w:rPr>
          <w:rtl/>
        </w:rPr>
      </w:pPr>
      <w:r w:rsidRPr="00EC7AFF">
        <w:rPr>
          <w:rStyle w:val="Appelnotedebasdep"/>
          <w:sz w:val="24"/>
          <w:szCs w:val="24"/>
        </w:rPr>
        <w:footnoteRef/>
      </w:r>
      <w:r w:rsidRPr="00EC7AFF">
        <w:rPr>
          <w:rFonts w:hint="cs"/>
          <w:sz w:val="24"/>
          <w:szCs w:val="24"/>
          <w:rtl/>
        </w:rPr>
        <w:t>- ابن رشد، المرجع السابق، ص165.</w:t>
      </w:r>
    </w:p>
  </w:footnote>
  <w:footnote w:id="98">
    <w:p w:rsidR="0012210E" w:rsidRDefault="0012210E" w:rsidP="00C57BE2">
      <w:pPr>
        <w:pStyle w:val="Notedebasdepage"/>
        <w:jc w:val="both"/>
        <w:rPr>
          <w:rtl/>
        </w:rPr>
      </w:pPr>
      <w:r w:rsidRPr="0055383E">
        <w:rPr>
          <w:rStyle w:val="Appelnotedebasdep"/>
          <w:sz w:val="24"/>
          <w:szCs w:val="24"/>
        </w:rPr>
        <w:footnoteRef/>
      </w:r>
      <w:r w:rsidRPr="0055383E">
        <w:rPr>
          <w:rFonts w:hint="cs"/>
          <w:sz w:val="24"/>
          <w:szCs w:val="24"/>
          <w:rtl/>
        </w:rPr>
        <w:t xml:space="preserve">- وهبة </w:t>
      </w:r>
      <w:proofErr w:type="spellStart"/>
      <w:r w:rsidRPr="0055383E">
        <w:rPr>
          <w:rFonts w:hint="cs"/>
          <w:sz w:val="24"/>
          <w:szCs w:val="24"/>
          <w:rtl/>
        </w:rPr>
        <w:t>الزحيلي</w:t>
      </w:r>
      <w:proofErr w:type="spellEnd"/>
      <w:r w:rsidRPr="0055383E">
        <w:rPr>
          <w:rFonts w:hint="cs"/>
          <w:sz w:val="24"/>
          <w:szCs w:val="24"/>
          <w:rtl/>
        </w:rPr>
        <w:t>، المرجع السابق</w:t>
      </w:r>
      <w:r>
        <w:rPr>
          <w:rFonts w:hint="cs"/>
          <w:sz w:val="24"/>
          <w:szCs w:val="24"/>
          <w:rtl/>
        </w:rPr>
        <w:t>، ج9</w:t>
      </w:r>
      <w:r w:rsidRPr="0055383E">
        <w:rPr>
          <w:rFonts w:hint="cs"/>
          <w:sz w:val="24"/>
          <w:szCs w:val="24"/>
          <w:rtl/>
        </w:rPr>
        <w:t>،</w:t>
      </w:r>
      <w:r w:rsidRPr="00394C6C">
        <w:rPr>
          <w:rFonts w:hint="cs"/>
          <w:sz w:val="24"/>
          <w:szCs w:val="24"/>
          <w:rtl/>
        </w:rPr>
        <w:t>ص</w:t>
      </w:r>
      <w:r w:rsidRPr="0055383E">
        <w:rPr>
          <w:rFonts w:hint="cs"/>
          <w:sz w:val="24"/>
          <w:szCs w:val="24"/>
          <w:rtl/>
        </w:rPr>
        <w:t xml:space="preserve"> 6865-6873.</w:t>
      </w:r>
    </w:p>
  </w:footnote>
  <w:footnote w:id="99">
    <w:p w:rsidR="0012210E" w:rsidRDefault="0012210E" w:rsidP="00C57BE2">
      <w:pPr>
        <w:pStyle w:val="Notedebasdepage"/>
        <w:jc w:val="both"/>
        <w:rPr>
          <w:rtl/>
        </w:rPr>
      </w:pPr>
      <w:r w:rsidRPr="00431F01">
        <w:rPr>
          <w:rStyle w:val="Appelnotedebasdep"/>
          <w:sz w:val="24"/>
          <w:szCs w:val="24"/>
        </w:rPr>
        <w:footnoteRef/>
      </w:r>
      <w:r w:rsidRPr="00431F01">
        <w:rPr>
          <w:rFonts w:hint="cs"/>
          <w:sz w:val="24"/>
          <w:szCs w:val="24"/>
          <w:rtl/>
        </w:rPr>
        <w:t>- العربي بل</w:t>
      </w:r>
      <w:r>
        <w:rPr>
          <w:rFonts w:hint="cs"/>
          <w:sz w:val="24"/>
          <w:szCs w:val="24"/>
          <w:rtl/>
        </w:rPr>
        <w:t>ح</w:t>
      </w:r>
      <w:r w:rsidRPr="00431F01">
        <w:rPr>
          <w:rFonts w:hint="cs"/>
          <w:sz w:val="24"/>
          <w:szCs w:val="24"/>
          <w:rtl/>
        </w:rPr>
        <w:t>ا</w:t>
      </w:r>
      <w:r>
        <w:rPr>
          <w:rFonts w:hint="cs"/>
          <w:sz w:val="24"/>
          <w:szCs w:val="24"/>
          <w:rtl/>
        </w:rPr>
        <w:t>ج</w:t>
      </w:r>
      <w:r w:rsidRPr="00431F01">
        <w:rPr>
          <w:rFonts w:hint="cs"/>
          <w:sz w:val="24"/>
          <w:szCs w:val="24"/>
          <w:rtl/>
        </w:rPr>
        <w:t xml:space="preserve">، الوجيز في شرح قانون الأسرة الجزائري، ديوان المطبوعات الجامعية، </w:t>
      </w:r>
      <w:proofErr w:type="spellStart"/>
      <w:r w:rsidRPr="00431F01">
        <w:rPr>
          <w:rFonts w:hint="cs"/>
          <w:sz w:val="24"/>
          <w:szCs w:val="24"/>
          <w:rtl/>
        </w:rPr>
        <w:t>د.ط</w:t>
      </w:r>
      <w:proofErr w:type="spellEnd"/>
      <w:r w:rsidRPr="00431F01">
        <w:rPr>
          <w:rFonts w:hint="cs"/>
          <w:sz w:val="24"/>
          <w:szCs w:val="24"/>
          <w:rtl/>
        </w:rPr>
        <w:t>، 2002،</w:t>
      </w:r>
      <w:r>
        <w:rPr>
          <w:rFonts w:hint="cs"/>
          <w:sz w:val="24"/>
          <w:szCs w:val="24"/>
          <w:rtl/>
        </w:rPr>
        <w:t xml:space="preserve"> ج1،</w:t>
      </w:r>
      <w:r w:rsidRPr="00431F01">
        <w:rPr>
          <w:rFonts w:hint="cs"/>
          <w:sz w:val="24"/>
          <w:szCs w:val="24"/>
          <w:rtl/>
        </w:rPr>
        <w:t xml:space="preserve"> ص225.</w:t>
      </w:r>
    </w:p>
  </w:footnote>
  <w:footnote w:id="100">
    <w:p w:rsidR="0012210E" w:rsidRDefault="0012210E" w:rsidP="00C57BE2">
      <w:pPr>
        <w:pStyle w:val="Notedebasdepage"/>
        <w:jc w:val="both"/>
        <w:rPr>
          <w:rtl/>
        </w:rPr>
      </w:pPr>
      <w:r w:rsidRPr="00431F01">
        <w:rPr>
          <w:rStyle w:val="Appelnotedebasdep"/>
          <w:sz w:val="24"/>
          <w:szCs w:val="24"/>
        </w:rPr>
        <w:footnoteRef/>
      </w:r>
      <w:r w:rsidRPr="00431F01">
        <w:rPr>
          <w:rFonts w:hint="cs"/>
          <w:sz w:val="24"/>
          <w:szCs w:val="24"/>
          <w:rtl/>
        </w:rPr>
        <w:t>- المرجع</w:t>
      </w:r>
      <w:r>
        <w:rPr>
          <w:rFonts w:hint="cs"/>
          <w:sz w:val="24"/>
          <w:szCs w:val="24"/>
          <w:rtl/>
        </w:rPr>
        <w:t xml:space="preserve"> نفسه، ج1</w:t>
      </w:r>
      <w:r w:rsidRPr="00431F01">
        <w:rPr>
          <w:rFonts w:hint="cs"/>
          <w:sz w:val="24"/>
          <w:szCs w:val="24"/>
          <w:rtl/>
        </w:rPr>
        <w:t>،</w:t>
      </w:r>
      <w:r>
        <w:rPr>
          <w:rFonts w:hint="cs"/>
          <w:sz w:val="24"/>
          <w:szCs w:val="24"/>
          <w:rtl/>
        </w:rPr>
        <w:t xml:space="preserve"> ص226.</w:t>
      </w:r>
    </w:p>
  </w:footnote>
  <w:footnote w:id="101">
    <w:p w:rsidR="0012210E" w:rsidRDefault="0012210E" w:rsidP="00C57BE2">
      <w:pPr>
        <w:pStyle w:val="Notedebasdepage"/>
        <w:jc w:val="both"/>
      </w:pPr>
      <w:r w:rsidRPr="00431F01">
        <w:rPr>
          <w:rStyle w:val="Appelnotedebasdep"/>
          <w:sz w:val="24"/>
          <w:szCs w:val="24"/>
        </w:rPr>
        <w:footnoteRef/>
      </w:r>
      <w:r w:rsidRPr="00431F01">
        <w:rPr>
          <w:rFonts w:hint="cs"/>
          <w:sz w:val="24"/>
          <w:szCs w:val="24"/>
          <w:rtl/>
        </w:rPr>
        <w:t>- العربي بلحاج، المرجع السابق</w:t>
      </w:r>
      <w:r>
        <w:rPr>
          <w:rFonts w:hint="cs"/>
          <w:sz w:val="24"/>
          <w:szCs w:val="24"/>
          <w:rtl/>
        </w:rPr>
        <w:t>، ج1</w:t>
      </w:r>
      <w:r w:rsidRPr="00431F01">
        <w:rPr>
          <w:rFonts w:hint="cs"/>
          <w:sz w:val="24"/>
          <w:szCs w:val="24"/>
          <w:rtl/>
        </w:rPr>
        <w:t>، ص258.</w:t>
      </w:r>
    </w:p>
  </w:footnote>
  <w:footnote w:id="102">
    <w:p w:rsidR="0012210E" w:rsidRDefault="0012210E" w:rsidP="00C57BE2">
      <w:pPr>
        <w:pStyle w:val="Notedebasdepage"/>
        <w:jc w:val="both"/>
        <w:rPr>
          <w:rtl/>
        </w:rPr>
      </w:pPr>
      <w:r w:rsidRPr="00D20330">
        <w:rPr>
          <w:rStyle w:val="Appelnotedebasdep"/>
          <w:sz w:val="24"/>
          <w:szCs w:val="24"/>
        </w:rPr>
        <w:footnoteRef/>
      </w:r>
      <w:r w:rsidRPr="00D20330">
        <w:rPr>
          <w:rFonts w:hint="cs"/>
          <w:sz w:val="24"/>
          <w:szCs w:val="24"/>
          <w:rtl/>
        </w:rPr>
        <w:t>- فضيل سعد، المرجع السابق، ص270-271.</w:t>
      </w:r>
    </w:p>
  </w:footnote>
  <w:footnote w:id="103">
    <w:p w:rsidR="0012210E" w:rsidRDefault="0012210E" w:rsidP="00C57BE2">
      <w:pPr>
        <w:pStyle w:val="Notedebasdepage"/>
        <w:jc w:val="both"/>
        <w:rPr>
          <w:rtl/>
        </w:rPr>
      </w:pPr>
      <w:r w:rsidRPr="00D20330">
        <w:rPr>
          <w:rStyle w:val="Appelnotedebasdep"/>
          <w:sz w:val="24"/>
          <w:szCs w:val="24"/>
        </w:rPr>
        <w:footnoteRef/>
      </w:r>
      <w:r w:rsidRPr="00D20330">
        <w:rPr>
          <w:rFonts w:hint="cs"/>
          <w:sz w:val="24"/>
          <w:szCs w:val="24"/>
          <w:rtl/>
        </w:rPr>
        <w:t xml:space="preserve">- </w:t>
      </w:r>
      <w:proofErr w:type="spellStart"/>
      <w:r w:rsidRPr="00D20330">
        <w:rPr>
          <w:rFonts w:hint="cs"/>
          <w:sz w:val="24"/>
          <w:szCs w:val="24"/>
          <w:rtl/>
        </w:rPr>
        <w:t>ا</w:t>
      </w:r>
      <w:r>
        <w:rPr>
          <w:rFonts w:hint="cs"/>
          <w:sz w:val="24"/>
          <w:szCs w:val="24"/>
          <w:rtl/>
        </w:rPr>
        <w:t>لغوثي</w:t>
      </w:r>
      <w:proofErr w:type="spellEnd"/>
      <w:r w:rsidRPr="00D20330">
        <w:rPr>
          <w:rFonts w:hint="cs"/>
          <w:sz w:val="24"/>
          <w:szCs w:val="24"/>
          <w:rtl/>
        </w:rPr>
        <w:t xml:space="preserve"> بن ملحة، القانون القضائي الجزائري، الديوان الوطني للأشغال التربوية</w:t>
      </w:r>
      <w:r>
        <w:rPr>
          <w:rFonts w:hint="cs"/>
          <w:sz w:val="24"/>
          <w:szCs w:val="24"/>
          <w:rtl/>
        </w:rPr>
        <w:t>، الجزائر</w:t>
      </w:r>
      <w:r w:rsidRPr="00D20330">
        <w:rPr>
          <w:rFonts w:hint="cs"/>
          <w:sz w:val="24"/>
          <w:szCs w:val="24"/>
          <w:rtl/>
        </w:rPr>
        <w:t>، ط2، 2000، ص227.</w:t>
      </w:r>
    </w:p>
  </w:footnote>
  <w:footnote w:id="104">
    <w:p w:rsidR="0012210E" w:rsidRDefault="0012210E" w:rsidP="00C57BE2">
      <w:pPr>
        <w:pStyle w:val="Notedebasdepage"/>
        <w:jc w:val="both"/>
        <w:rPr>
          <w:rtl/>
        </w:rPr>
      </w:pPr>
      <w:r w:rsidRPr="001A7CC9">
        <w:rPr>
          <w:rStyle w:val="Appelnotedebasdep"/>
          <w:sz w:val="24"/>
          <w:szCs w:val="24"/>
        </w:rPr>
        <w:footnoteRef/>
      </w:r>
      <w:r w:rsidRPr="001A7CC9">
        <w:rPr>
          <w:rFonts w:hint="cs"/>
          <w:sz w:val="24"/>
          <w:szCs w:val="24"/>
          <w:rtl/>
        </w:rPr>
        <w:t>- العربي بالحاج، المرجع السابق،</w:t>
      </w:r>
      <w:r>
        <w:rPr>
          <w:rFonts w:hint="cs"/>
          <w:sz w:val="24"/>
          <w:szCs w:val="24"/>
          <w:rtl/>
        </w:rPr>
        <w:t xml:space="preserve"> ج1،</w:t>
      </w:r>
      <w:r w:rsidRPr="001A7CC9">
        <w:rPr>
          <w:rFonts w:hint="cs"/>
          <w:sz w:val="24"/>
          <w:szCs w:val="24"/>
          <w:rtl/>
        </w:rPr>
        <w:t xml:space="preserve"> ص232.</w:t>
      </w:r>
    </w:p>
  </w:footnote>
  <w:footnote w:id="105">
    <w:p w:rsidR="0012210E" w:rsidRDefault="0012210E" w:rsidP="00C57BE2">
      <w:pPr>
        <w:pStyle w:val="Notedebasdepage"/>
        <w:jc w:val="both"/>
      </w:pPr>
      <w:r w:rsidRPr="009A52B8">
        <w:rPr>
          <w:rStyle w:val="Appelnotedebasdep"/>
          <w:sz w:val="24"/>
          <w:szCs w:val="24"/>
        </w:rPr>
        <w:footnoteRef/>
      </w:r>
      <w:r w:rsidRPr="009A52B8">
        <w:rPr>
          <w:rFonts w:hint="cs"/>
          <w:sz w:val="24"/>
          <w:szCs w:val="24"/>
          <w:rtl/>
        </w:rPr>
        <w:t>- عبد العزيز سعد، المرجع السابق، ص26.</w:t>
      </w:r>
    </w:p>
  </w:footnote>
  <w:footnote w:id="106">
    <w:p w:rsidR="0012210E" w:rsidRDefault="0012210E" w:rsidP="00C57BE2">
      <w:pPr>
        <w:pStyle w:val="Notedebasdepage"/>
        <w:jc w:val="both"/>
        <w:rPr>
          <w:rtl/>
        </w:rPr>
      </w:pPr>
      <w:r w:rsidRPr="005F5DFD">
        <w:rPr>
          <w:rStyle w:val="Appelnotedebasdep"/>
          <w:sz w:val="24"/>
          <w:szCs w:val="24"/>
        </w:rPr>
        <w:footnoteRef/>
      </w:r>
      <w:r w:rsidRPr="005F5DFD">
        <w:rPr>
          <w:rFonts w:hint="cs"/>
          <w:sz w:val="24"/>
          <w:szCs w:val="24"/>
          <w:rtl/>
        </w:rPr>
        <w:t xml:space="preserve">- عبر العزيز سعد، المرجع </w:t>
      </w:r>
      <w:r>
        <w:rPr>
          <w:rFonts w:hint="cs"/>
          <w:sz w:val="24"/>
          <w:szCs w:val="24"/>
          <w:rtl/>
        </w:rPr>
        <w:t>نفسه</w:t>
      </w:r>
      <w:r w:rsidRPr="005F5DFD">
        <w:rPr>
          <w:rFonts w:hint="cs"/>
          <w:sz w:val="24"/>
          <w:szCs w:val="24"/>
          <w:rtl/>
        </w:rPr>
        <w:t>، ص27.</w:t>
      </w:r>
    </w:p>
  </w:footnote>
  <w:footnote w:id="107">
    <w:p w:rsidR="0012210E" w:rsidRDefault="0012210E" w:rsidP="00C57BE2">
      <w:pPr>
        <w:pStyle w:val="Notedebasdepage"/>
        <w:jc w:val="both"/>
        <w:rPr>
          <w:rtl/>
        </w:rPr>
      </w:pPr>
      <w:r w:rsidRPr="00BA19EF">
        <w:rPr>
          <w:rStyle w:val="Appelnotedebasdep"/>
          <w:sz w:val="24"/>
          <w:szCs w:val="24"/>
        </w:rPr>
        <w:footnoteRef/>
      </w:r>
      <w:r w:rsidRPr="00BA19EF">
        <w:rPr>
          <w:rFonts w:hint="cs"/>
          <w:sz w:val="24"/>
          <w:szCs w:val="24"/>
          <w:rtl/>
        </w:rPr>
        <w:t>- العربي بلحاج، المرجع السابق</w:t>
      </w:r>
      <w:r>
        <w:rPr>
          <w:rFonts w:hint="cs"/>
          <w:sz w:val="24"/>
          <w:szCs w:val="24"/>
          <w:rtl/>
        </w:rPr>
        <w:t>، ج1</w:t>
      </w:r>
      <w:r w:rsidRPr="00BA19EF">
        <w:rPr>
          <w:rFonts w:hint="cs"/>
          <w:sz w:val="24"/>
          <w:szCs w:val="24"/>
          <w:rtl/>
        </w:rPr>
        <w:t>، ص357.</w:t>
      </w:r>
    </w:p>
  </w:footnote>
  <w:footnote w:id="108">
    <w:p w:rsidR="0012210E" w:rsidRDefault="0012210E" w:rsidP="00C57BE2">
      <w:pPr>
        <w:pStyle w:val="Notedebasdepage"/>
        <w:jc w:val="both"/>
        <w:rPr>
          <w:rtl/>
        </w:rPr>
      </w:pPr>
      <w:r w:rsidRPr="00BA19EF">
        <w:rPr>
          <w:rStyle w:val="Appelnotedebasdep"/>
          <w:sz w:val="24"/>
          <w:szCs w:val="24"/>
        </w:rPr>
        <w:footnoteRef/>
      </w:r>
      <w:r w:rsidRPr="00BA19EF">
        <w:rPr>
          <w:rFonts w:hint="cs"/>
          <w:sz w:val="24"/>
          <w:szCs w:val="24"/>
          <w:rtl/>
        </w:rPr>
        <w:t xml:space="preserve">- محمد فتحي نجيب، قانون </w:t>
      </w:r>
      <w:r>
        <w:rPr>
          <w:rFonts w:hint="cs"/>
          <w:sz w:val="24"/>
          <w:szCs w:val="24"/>
          <w:rtl/>
        </w:rPr>
        <w:t>إ</w:t>
      </w:r>
      <w:r w:rsidRPr="00BA19EF">
        <w:rPr>
          <w:rFonts w:hint="cs"/>
          <w:sz w:val="24"/>
          <w:szCs w:val="24"/>
          <w:rtl/>
        </w:rPr>
        <w:t>جراءات التقاضي في الأحوال الشخصية، دار الشروق، القاهرة، ط1، 2002، ص231.</w:t>
      </w:r>
    </w:p>
  </w:footnote>
  <w:footnote w:id="109">
    <w:p w:rsidR="0012210E" w:rsidRDefault="0012210E" w:rsidP="00C57BE2">
      <w:pPr>
        <w:pStyle w:val="Notedebasdepage"/>
        <w:jc w:val="both"/>
        <w:rPr>
          <w:rtl/>
        </w:rPr>
      </w:pPr>
      <w:r w:rsidRPr="002C0FAF">
        <w:rPr>
          <w:rStyle w:val="Appelnotedebasdep"/>
          <w:sz w:val="24"/>
          <w:szCs w:val="24"/>
        </w:rPr>
        <w:footnoteRef/>
      </w:r>
      <w:r>
        <w:rPr>
          <w:rFonts w:hint="cs"/>
          <w:sz w:val="24"/>
          <w:szCs w:val="24"/>
          <w:rtl/>
        </w:rPr>
        <w:t>- العربي بل</w:t>
      </w:r>
      <w:r w:rsidRPr="002C0FAF">
        <w:rPr>
          <w:rFonts w:hint="cs"/>
          <w:sz w:val="24"/>
          <w:szCs w:val="24"/>
          <w:rtl/>
        </w:rPr>
        <w:t xml:space="preserve">حاج، </w:t>
      </w:r>
      <w:r>
        <w:rPr>
          <w:rFonts w:hint="cs"/>
          <w:sz w:val="24"/>
          <w:szCs w:val="24"/>
          <w:rtl/>
        </w:rPr>
        <w:t>ال</w:t>
      </w:r>
      <w:r w:rsidRPr="002C0FAF">
        <w:rPr>
          <w:rFonts w:hint="cs"/>
          <w:sz w:val="24"/>
          <w:szCs w:val="24"/>
          <w:rtl/>
        </w:rPr>
        <w:t xml:space="preserve">مرجع </w:t>
      </w:r>
      <w:r>
        <w:rPr>
          <w:rFonts w:hint="cs"/>
          <w:sz w:val="24"/>
          <w:szCs w:val="24"/>
          <w:rtl/>
        </w:rPr>
        <w:t>ال</w:t>
      </w:r>
      <w:r w:rsidRPr="002C0FAF">
        <w:rPr>
          <w:rFonts w:hint="cs"/>
          <w:sz w:val="24"/>
          <w:szCs w:val="24"/>
          <w:rtl/>
        </w:rPr>
        <w:t>سابق</w:t>
      </w:r>
      <w:r>
        <w:rPr>
          <w:rFonts w:hint="cs"/>
          <w:sz w:val="24"/>
          <w:szCs w:val="24"/>
          <w:rtl/>
        </w:rPr>
        <w:t>، ج1</w:t>
      </w:r>
      <w:r w:rsidRPr="002C0FAF">
        <w:rPr>
          <w:rFonts w:hint="cs"/>
          <w:sz w:val="24"/>
          <w:szCs w:val="24"/>
          <w:rtl/>
        </w:rPr>
        <w:t>، ص356-358.</w:t>
      </w:r>
    </w:p>
  </w:footnote>
  <w:footnote w:id="110">
    <w:p w:rsidR="0012210E" w:rsidRDefault="0012210E" w:rsidP="00C57BE2">
      <w:pPr>
        <w:pStyle w:val="Notedebasdepage"/>
        <w:jc w:val="both"/>
        <w:rPr>
          <w:rtl/>
        </w:rPr>
      </w:pPr>
      <w:r w:rsidRPr="00916B37">
        <w:rPr>
          <w:rStyle w:val="Appelnotedebasdep"/>
          <w:sz w:val="24"/>
          <w:szCs w:val="24"/>
        </w:rPr>
        <w:footnoteRef/>
      </w:r>
      <w:r w:rsidRPr="00916B37">
        <w:rPr>
          <w:rFonts w:hint="cs"/>
          <w:sz w:val="24"/>
          <w:szCs w:val="24"/>
          <w:rtl/>
        </w:rPr>
        <w:t>- عبد العزيز سعد، المرجع السابق، ص384.</w:t>
      </w:r>
    </w:p>
  </w:footnote>
  <w:footnote w:id="111">
    <w:p w:rsidR="0012210E" w:rsidRDefault="0012210E" w:rsidP="00C57BE2">
      <w:pPr>
        <w:pStyle w:val="Notedebasdepage"/>
        <w:jc w:val="both"/>
        <w:rPr>
          <w:rtl/>
        </w:rPr>
      </w:pPr>
      <w:r w:rsidRPr="00970D87">
        <w:rPr>
          <w:rStyle w:val="Appelnotedebasdep"/>
          <w:sz w:val="24"/>
          <w:szCs w:val="24"/>
        </w:rPr>
        <w:footnoteRef/>
      </w:r>
      <w:r w:rsidRPr="00970D87">
        <w:rPr>
          <w:rFonts w:hint="cs"/>
          <w:sz w:val="24"/>
          <w:szCs w:val="24"/>
          <w:rtl/>
        </w:rPr>
        <w:t>- العربي بلحاج، المرجع السابق،</w:t>
      </w:r>
      <w:r>
        <w:rPr>
          <w:rFonts w:hint="cs"/>
          <w:sz w:val="24"/>
          <w:szCs w:val="24"/>
          <w:rtl/>
        </w:rPr>
        <w:t xml:space="preserve"> ج1،</w:t>
      </w:r>
      <w:r w:rsidRPr="00970D87">
        <w:rPr>
          <w:rFonts w:hint="cs"/>
          <w:sz w:val="24"/>
          <w:szCs w:val="24"/>
          <w:rtl/>
        </w:rPr>
        <w:t xml:space="preserve"> ص356.</w:t>
      </w:r>
    </w:p>
  </w:footnote>
  <w:footnote w:id="112">
    <w:p w:rsidR="0012210E" w:rsidRDefault="0012210E" w:rsidP="00C57BE2">
      <w:pPr>
        <w:pStyle w:val="Notedebasdepage"/>
        <w:jc w:val="both"/>
        <w:rPr>
          <w:rtl/>
        </w:rPr>
      </w:pPr>
      <w:r w:rsidRPr="00970D87">
        <w:rPr>
          <w:rStyle w:val="Appelnotedebasdep"/>
          <w:sz w:val="24"/>
          <w:szCs w:val="24"/>
        </w:rPr>
        <w:footnoteRef/>
      </w:r>
      <w:r w:rsidRPr="00970D87">
        <w:rPr>
          <w:rFonts w:hint="cs"/>
          <w:sz w:val="24"/>
          <w:szCs w:val="24"/>
          <w:rtl/>
        </w:rPr>
        <w:t>- عبد العزيز سعد، المرجع السابق، ص385.</w:t>
      </w:r>
    </w:p>
  </w:footnote>
  <w:footnote w:id="113">
    <w:p w:rsidR="0012210E" w:rsidRDefault="0012210E" w:rsidP="00C57BE2">
      <w:pPr>
        <w:pStyle w:val="Notedebasdepage"/>
        <w:jc w:val="both"/>
        <w:rPr>
          <w:rtl/>
        </w:rPr>
      </w:pPr>
      <w:r w:rsidRPr="005B60FE">
        <w:rPr>
          <w:rStyle w:val="Appelnotedebasdep"/>
          <w:sz w:val="24"/>
          <w:szCs w:val="24"/>
        </w:rPr>
        <w:footnoteRef/>
      </w:r>
      <w:r w:rsidRPr="005B60FE">
        <w:rPr>
          <w:rFonts w:hint="cs"/>
          <w:sz w:val="24"/>
          <w:szCs w:val="24"/>
          <w:rtl/>
        </w:rPr>
        <w:t xml:space="preserve">- فضيل العيش، الصلح في المنازعات الإدارية وفي القوانين الأخرى، منشورات بغدادي، </w:t>
      </w:r>
      <w:proofErr w:type="spellStart"/>
      <w:r w:rsidRPr="005B60FE">
        <w:rPr>
          <w:rFonts w:hint="cs"/>
          <w:sz w:val="24"/>
          <w:szCs w:val="24"/>
          <w:rtl/>
        </w:rPr>
        <w:t>د.ط</w:t>
      </w:r>
      <w:proofErr w:type="spellEnd"/>
      <w:r w:rsidRPr="005B60FE">
        <w:rPr>
          <w:rFonts w:hint="cs"/>
          <w:sz w:val="24"/>
          <w:szCs w:val="24"/>
          <w:rtl/>
        </w:rPr>
        <w:t>، د.ت، ص45.</w:t>
      </w:r>
    </w:p>
  </w:footnote>
  <w:footnote w:id="114">
    <w:p w:rsidR="0012210E" w:rsidRDefault="0012210E" w:rsidP="00C57BE2">
      <w:pPr>
        <w:pStyle w:val="Notedebasdepage"/>
        <w:jc w:val="both"/>
        <w:rPr>
          <w:rtl/>
        </w:rPr>
      </w:pPr>
      <w:r w:rsidRPr="005B60FE">
        <w:rPr>
          <w:rStyle w:val="Appelnotedebasdep"/>
          <w:sz w:val="24"/>
          <w:szCs w:val="24"/>
        </w:rPr>
        <w:footnoteRef/>
      </w:r>
      <w:r w:rsidRPr="005B60FE">
        <w:rPr>
          <w:rFonts w:hint="cs"/>
          <w:sz w:val="24"/>
          <w:szCs w:val="24"/>
          <w:rtl/>
        </w:rPr>
        <w:t xml:space="preserve">- الأنصاري حسن </w:t>
      </w:r>
      <w:proofErr w:type="spellStart"/>
      <w:r w:rsidRPr="005B60FE">
        <w:rPr>
          <w:rFonts w:hint="cs"/>
          <w:sz w:val="24"/>
          <w:szCs w:val="24"/>
          <w:rtl/>
        </w:rPr>
        <w:t>النيداني</w:t>
      </w:r>
      <w:proofErr w:type="spellEnd"/>
      <w:r w:rsidRPr="005B60FE">
        <w:rPr>
          <w:rFonts w:hint="cs"/>
          <w:sz w:val="24"/>
          <w:szCs w:val="24"/>
          <w:rtl/>
        </w:rPr>
        <w:t>، المرجع السابق، ص213.</w:t>
      </w:r>
    </w:p>
  </w:footnote>
  <w:footnote w:id="115">
    <w:p w:rsidR="00205FA4" w:rsidRPr="00930416" w:rsidRDefault="00205FA4" w:rsidP="00205FA4">
      <w:pPr>
        <w:pStyle w:val="Notedebasdepage"/>
        <w:jc w:val="both"/>
        <w:rPr>
          <w:sz w:val="24"/>
          <w:szCs w:val="24"/>
          <w:rtl/>
        </w:rPr>
      </w:pPr>
      <w:r w:rsidRPr="00930416">
        <w:rPr>
          <w:rStyle w:val="Appelnotedebasdep"/>
          <w:sz w:val="24"/>
          <w:szCs w:val="24"/>
        </w:rPr>
        <w:footnoteRef/>
      </w:r>
      <w:r w:rsidRPr="00930416">
        <w:rPr>
          <w:rFonts w:hint="cs"/>
          <w:sz w:val="24"/>
          <w:szCs w:val="24"/>
          <w:rtl/>
        </w:rPr>
        <w:t>- ليلا جمعي، سلبيات وإيجابيات قانون الأسرة، مقال منشور بمجلة الحضارة الإسلامية، جامعة وهران، عدد 09، 2004، ص149.</w:t>
      </w:r>
    </w:p>
  </w:footnote>
  <w:footnote w:id="116">
    <w:p w:rsidR="0012210E" w:rsidRDefault="0012210E" w:rsidP="00C57BE2">
      <w:pPr>
        <w:pStyle w:val="Notedebasdepage"/>
        <w:jc w:val="both"/>
        <w:rPr>
          <w:rtl/>
        </w:rPr>
      </w:pPr>
      <w:r w:rsidRPr="00930416">
        <w:rPr>
          <w:rStyle w:val="Appelnotedebasdep"/>
          <w:sz w:val="24"/>
          <w:szCs w:val="24"/>
        </w:rPr>
        <w:footnoteRef/>
      </w:r>
      <w:r w:rsidRPr="00930416">
        <w:rPr>
          <w:rFonts w:hint="cs"/>
          <w:sz w:val="24"/>
          <w:szCs w:val="24"/>
          <w:rtl/>
        </w:rPr>
        <w:t>- سورة النساء، الآية 128.</w:t>
      </w:r>
    </w:p>
  </w:footnote>
  <w:footnote w:id="117">
    <w:p w:rsidR="0012210E" w:rsidRDefault="0012210E" w:rsidP="00C57BE2">
      <w:pPr>
        <w:pStyle w:val="Notedebasdepage"/>
        <w:jc w:val="both"/>
        <w:rPr>
          <w:rtl/>
        </w:rPr>
      </w:pPr>
      <w:r w:rsidRPr="00930416">
        <w:rPr>
          <w:rStyle w:val="Appelnotedebasdep"/>
          <w:sz w:val="24"/>
          <w:szCs w:val="24"/>
        </w:rPr>
        <w:footnoteRef/>
      </w:r>
      <w:r w:rsidRPr="00930416">
        <w:rPr>
          <w:rFonts w:hint="cs"/>
          <w:sz w:val="24"/>
          <w:szCs w:val="24"/>
          <w:rtl/>
        </w:rPr>
        <w:t>- سورة النساء، الآية 34.</w:t>
      </w:r>
    </w:p>
  </w:footnote>
  <w:footnote w:id="118">
    <w:p w:rsidR="0012210E" w:rsidRDefault="0012210E" w:rsidP="00C57BE2">
      <w:pPr>
        <w:pStyle w:val="Notedebasdepage"/>
        <w:jc w:val="both"/>
        <w:rPr>
          <w:rtl/>
        </w:rPr>
      </w:pPr>
      <w:r w:rsidRPr="00B81120">
        <w:rPr>
          <w:rStyle w:val="Appelnotedebasdep"/>
          <w:sz w:val="24"/>
          <w:szCs w:val="24"/>
        </w:rPr>
        <w:footnoteRef/>
      </w:r>
      <w:r w:rsidRPr="00B81120">
        <w:rPr>
          <w:rFonts w:hint="cs"/>
          <w:sz w:val="24"/>
          <w:szCs w:val="24"/>
          <w:rtl/>
        </w:rPr>
        <w:t xml:space="preserve">- محمد مصطفى </w:t>
      </w:r>
      <w:proofErr w:type="spellStart"/>
      <w:r w:rsidRPr="00B81120">
        <w:rPr>
          <w:rFonts w:hint="cs"/>
          <w:sz w:val="24"/>
          <w:szCs w:val="24"/>
          <w:rtl/>
        </w:rPr>
        <w:t>الزحيلي</w:t>
      </w:r>
      <w:proofErr w:type="spellEnd"/>
      <w:r w:rsidRPr="00B81120">
        <w:rPr>
          <w:rFonts w:hint="cs"/>
          <w:sz w:val="24"/>
          <w:szCs w:val="24"/>
          <w:rtl/>
        </w:rPr>
        <w:t>، القواعد الفقهية وتطبيقاتها في المذاهب الأربعة، دار الفكر، دمشق، ط1، 2001، جزء 02، ص509.</w:t>
      </w:r>
    </w:p>
  </w:footnote>
  <w:footnote w:id="119">
    <w:p w:rsidR="0012210E" w:rsidRDefault="0012210E" w:rsidP="00C57BE2">
      <w:pPr>
        <w:pStyle w:val="Notedebasdepage"/>
        <w:jc w:val="both"/>
        <w:rPr>
          <w:rtl/>
        </w:rPr>
      </w:pPr>
      <w:r w:rsidRPr="00F877CA">
        <w:rPr>
          <w:rStyle w:val="Appelnotedebasdep"/>
          <w:sz w:val="24"/>
          <w:szCs w:val="24"/>
        </w:rPr>
        <w:footnoteRef/>
      </w:r>
      <w:r w:rsidRPr="00F877CA">
        <w:rPr>
          <w:rFonts w:hint="cs"/>
          <w:sz w:val="24"/>
          <w:szCs w:val="24"/>
          <w:rtl/>
        </w:rPr>
        <w:t>- سورة النساء، الآية 04.</w:t>
      </w:r>
    </w:p>
  </w:footnote>
  <w:footnote w:id="120">
    <w:p w:rsidR="0012210E" w:rsidRPr="00776837" w:rsidRDefault="0012210E" w:rsidP="00C57BE2">
      <w:pPr>
        <w:pStyle w:val="Notedebasdepage"/>
        <w:jc w:val="both"/>
        <w:rPr>
          <w:sz w:val="24"/>
          <w:szCs w:val="24"/>
        </w:rPr>
      </w:pPr>
      <w:r w:rsidRPr="00776837">
        <w:rPr>
          <w:rStyle w:val="Appelnotedebasdep"/>
          <w:sz w:val="24"/>
          <w:szCs w:val="24"/>
        </w:rPr>
        <w:footnoteRef/>
      </w:r>
      <w:r w:rsidRPr="00776837">
        <w:rPr>
          <w:rFonts w:hint="cs"/>
          <w:sz w:val="24"/>
          <w:szCs w:val="24"/>
          <w:rtl/>
        </w:rPr>
        <w:t>- لجنة من علماء الأزهر، المنتخب في تفسير القرآن الكريم، المجلس الأعلى للشؤون الإسلامية، مصر، ط18، 1995م، ج1، ص106.</w:t>
      </w:r>
    </w:p>
  </w:footnote>
  <w:footnote w:id="121">
    <w:p w:rsidR="0012210E" w:rsidRDefault="0012210E" w:rsidP="00C57BE2">
      <w:pPr>
        <w:pStyle w:val="Notedebasdepage"/>
        <w:jc w:val="both"/>
        <w:rPr>
          <w:rtl/>
        </w:rPr>
      </w:pPr>
      <w:r w:rsidRPr="00F877CA">
        <w:rPr>
          <w:rStyle w:val="Appelnotedebasdep"/>
          <w:sz w:val="24"/>
          <w:szCs w:val="24"/>
        </w:rPr>
        <w:footnoteRef/>
      </w:r>
      <w:r w:rsidRPr="00F877CA">
        <w:rPr>
          <w:rFonts w:hint="cs"/>
          <w:sz w:val="24"/>
          <w:szCs w:val="24"/>
          <w:rtl/>
        </w:rPr>
        <w:t xml:space="preserve">- </w:t>
      </w:r>
      <w:r>
        <w:rPr>
          <w:rFonts w:hint="cs"/>
          <w:sz w:val="24"/>
          <w:szCs w:val="24"/>
          <w:rtl/>
        </w:rPr>
        <w:t>الأوسط 2 (1151).</w:t>
      </w:r>
    </w:p>
  </w:footnote>
  <w:footnote w:id="122">
    <w:p w:rsidR="0012210E" w:rsidRPr="00776837" w:rsidRDefault="0012210E" w:rsidP="00C57BE2">
      <w:pPr>
        <w:pStyle w:val="Notedebasdepage"/>
        <w:jc w:val="both"/>
        <w:rPr>
          <w:sz w:val="24"/>
          <w:szCs w:val="24"/>
        </w:rPr>
      </w:pPr>
      <w:r w:rsidRPr="00776837">
        <w:rPr>
          <w:rStyle w:val="Appelnotedebasdep"/>
          <w:sz w:val="24"/>
          <w:szCs w:val="24"/>
        </w:rPr>
        <w:footnoteRef/>
      </w:r>
      <w:r w:rsidRPr="00776837">
        <w:rPr>
          <w:rFonts w:hint="cs"/>
          <w:sz w:val="24"/>
          <w:szCs w:val="24"/>
          <w:rtl/>
        </w:rPr>
        <w:t>- المتقي الهندي، كنز العمال في سنن الأقوال والأفعال، مؤسسة الرسالة</w:t>
      </w:r>
      <w:r>
        <w:rPr>
          <w:rFonts w:hint="cs"/>
          <w:sz w:val="24"/>
          <w:szCs w:val="24"/>
          <w:rtl/>
        </w:rPr>
        <w:t>، ط5، 1981م، ج10، ص297.</w:t>
      </w:r>
    </w:p>
  </w:footnote>
  <w:footnote w:id="123">
    <w:p w:rsidR="0012210E" w:rsidRPr="00B64DF5" w:rsidRDefault="0012210E" w:rsidP="00C57BE2">
      <w:pPr>
        <w:pStyle w:val="Notedebasdepage"/>
        <w:jc w:val="both"/>
        <w:rPr>
          <w:sz w:val="24"/>
          <w:szCs w:val="24"/>
        </w:rPr>
      </w:pPr>
      <w:r w:rsidRPr="00B64DF5">
        <w:rPr>
          <w:rStyle w:val="Appelnotedebasdep"/>
          <w:sz w:val="24"/>
          <w:szCs w:val="24"/>
        </w:rPr>
        <w:footnoteRef/>
      </w:r>
      <w:r w:rsidRPr="00B64DF5">
        <w:rPr>
          <w:rFonts w:hint="cs"/>
          <w:sz w:val="24"/>
          <w:szCs w:val="24"/>
          <w:rtl/>
        </w:rPr>
        <w:t>- عابد بن عبد الله الحربي، النشوز بين الزوجين، الجامعة الإسلامية، المدينة المنورة، ط128، 1425ه، ج10، ص66.</w:t>
      </w:r>
    </w:p>
  </w:footnote>
  <w:footnote w:id="124">
    <w:p w:rsidR="0012210E" w:rsidRPr="00B64DF5" w:rsidRDefault="0012210E" w:rsidP="00C57BE2">
      <w:pPr>
        <w:pStyle w:val="Notedebasdepage"/>
        <w:jc w:val="both"/>
        <w:rPr>
          <w:sz w:val="24"/>
          <w:szCs w:val="24"/>
        </w:rPr>
      </w:pPr>
      <w:r w:rsidRPr="00B64DF5">
        <w:rPr>
          <w:rStyle w:val="Appelnotedebasdep"/>
          <w:sz w:val="24"/>
          <w:szCs w:val="24"/>
        </w:rPr>
        <w:footnoteRef/>
      </w:r>
      <w:r w:rsidRPr="00B64DF5">
        <w:rPr>
          <w:rFonts w:hint="cs"/>
          <w:sz w:val="24"/>
          <w:szCs w:val="24"/>
          <w:rtl/>
        </w:rPr>
        <w:t xml:space="preserve">- أحمد بن عبد العزيز السليمان الحمدان، دليل مكتبة المرأة المسلمة، وزارة الأوقاف السعودية، </w:t>
      </w:r>
      <w:proofErr w:type="spellStart"/>
      <w:r w:rsidRPr="00B64DF5">
        <w:rPr>
          <w:rFonts w:hint="cs"/>
          <w:sz w:val="24"/>
          <w:szCs w:val="24"/>
          <w:rtl/>
        </w:rPr>
        <w:t>د.ط</w:t>
      </w:r>
      <w:proofErr w:type="spellEnd"/>
      <w:r w:rsidRPr="00B64DF5">
        <w:rPr>
          <w:rFonts w:hint="cs"/>
          <w:sz w:val="24"/>
          <w:szCs w:val="24"/>
          <w:rtl/>
        </w:rPr>
        <w:t>، د.ت، ج4، ص348.</w:t>
      </w:r>
    </w:p>
  </w:footnote>
  <w:footnote w:id="125">
    <w:p w:rsidR="0012210E" w:rsidRDefault="0012210E" w:rsidP="00C57BE2">
      <w:pPr>
        <w:pStyle w:val="Notedebasdepage"/>
        <w:jc w:val="both"/>
        <w:rPr>
          <w:rtl/>
        </w:rPr>
      </w:pPr>
      <w:r w:rsidRPr="003925B0">
        <w:rPr>
          <w:rStyle w:val="Appelnotedebasdep"/>
          <w:sz w:val="24"/>
          <w:szCs w:val="24"/>
        </w:rPr>
        <w:footnoteRef/>
      </w:r>
      <w:r w:rsidRPr="003925B0">
        <w:rPr>
          <w:rFonts w:hint="cs"/>
          <w:sz w:val="24"/>
          <w:szCs w:val="24"/>
          <w:rtl/>
        </w:rPr>
        <w:t>- سورة البقرة، الآية 226-227.</w:t>
      </w:r>
    </w:p>
  </w:footnote>
  <w:footnote w:id="126">
    <w:p w:rsidR="0012210E" w:rsidRDefault="0012210E" w:rsidP="00C57BE2">
      <w:pPr>
        <w:pStyle w:val="Notedebasdepage"/>
        <w:jc w:val="both"/>
        <w:rPr>
          <w:rtl/>
        </w:rPr>
      </w:pPr>
      <w:r w:rsidRPr="007B56B7">
        <w:rPr>
          <w:rStyle w:val="Appelnotedebasdep"/>
          <w:sz w:val="24"/>
          <w:szCs w:val="24"/>
        </w:rPr>
        <w:footnoteRef/>
      </w:r>
      <w:r w:rsidRPr="007B56B7">
        <w:rPr>
          <w:rFonts w:hint="cs"/>
          <w:sz w:val="24"/>
          <w:szCs w:val="24"/>
          <w:rtl/>
        </w:rPr>
        <w:t>- سورة النساء، الآية 03.</w:t>
      </w:r>
    </w:p>
  </w:footnote>
  <w:footnote w:id="127">
    <w:p w:rsidR="0012210E" w:rsidRPr="00B3120D" w:rsidRDefault="0012210E" w:rsidP="00C57BE2">
      <w:pPr>
        <w:pStyle w:val="Notedebasdepage"/>
        <w:jc w:val="both"/>
        <w:rPr>
          <w:sz w:val="24"/>
          <w:szCs w:val="24"/>
        </w:rPr>
      </w:pPr>
      <w:r w:rsidRPr="00B3120D">
        <w:rPr>
          <w:rStyle w:val="Appelnotedebasdep"/>
          <w:sz w:val="24"/>
          <w:szCs w:val="24"/>
        </w:rPr>
        <w:footnoteRef/>
      </w:r>
      <w:r w:rsidRPr="00B3120D">
        <w:rPr>
          <w:rFonts w:hint="cs"/>
          <w:sz w:val="24"/>
          <w:szCs w:val="24"/>
          <w:rtl/>
        </w:rPr>
        <w:t>- أحمد بن عبد العزيز السليمان الحمدان</w:t>
      </w:r>
      <w:r w:rsidRPr="00302E31">
        <w:rPr>
          <w:rFonts w:hint="cs"/>
          <w:sz w:val="24"/>
          <w:szCs w:val="24"/>
          <w:rtl/>
        </w:rPr>
        <w:t xml:space="preserve">، </w:t>
      </w:r>
      <w:r>
        <w:rPr>
          <w:rFonts w:hint="cs"/>
          <w:sz w:val="24"/>
          <w:szCs w:val="24"/>
          <w:rtl/>
        </w:rPr>
        <w:t>المرجع السابق</w:t>
      </w:r>
      <w:r w:rsidRPr="00302E31">
        <w:rPr>
          <w:rFonts w:hint="cs"/>
          <w:sz w:val="24"/>
          <w:szCs w:val="24"/>
          <w:rtl/>
        </w:rPr>
        <w:t>، ج4</w:t>
      </w:r>
      <w:r w:rsidRPr="00B3120D">
        <w:rPr>
          <w:rFonts w:hint="cs"/>
          <w:sz w:val="24"/>
          <w:szCs w:val="24"/>
          <w:rtl/>
        </w:rPr>
        <w:t>، ص348.</w:t>
      </w:r>
    </w:p>
  </w:footnote>
  <w:footnote w:id="128">
    <w:p w:rsidR="0012210E" w:rsidRDefault="0012210E" w:rsidP="00C57BE2">
      <w:pPr>
        <w:pStyle w:val="Notedebasdepage"/>
        <w:jc w:val="both"/>
        <w:rPr>
          <w:rtl/>
        </w:rPr>
      </w:pPr>
      <w:r w:rsidRPr="007B56B7">
        <w:rPr>
          <w:rStyle w:val="Appelnotedebasdep"/>
          <w:sz w:val="24"/>
          <w:szCs w:val="24"/>
        </w:rPr>
        <w:footnoteRef/>
      </w:r>
      <w:r w:rsidRPr="007B56B7">
        <w:rPr>
          <w:rFonts w:hint="cs"/>
          <w:sz w:val="24"/>
          <w:szCs w:val="24"/>
          <w:rtl/>
        </w:rPr>
        <w:t>- سورة النساء، الآية 34.</w:t>
      </w:r>
    </w:p>
  </w:footnote>
  <w:footnote w:id="129">
    <w:p w:rsidR="0012210E" w:rsidRDefault="0012210E" w:rsidP="00C57BE2">
      <w:pPr>
        <w:pStyle w:val="Notedebasdepage"/>
        <w:jc w:val="both"/>
        <w:rPr>
          <w:rtl/>
        </w:rPr>
      </w:pPr>
      <w:r w:rsidRPr="00710ACB">
        <w:rPr>
          <w:rStyle w:val="Appelnotedebasdep"/>
          <w:sz w:val="24"/>
          <w:szCs w:val="24"/>
        </w:rPr>
        <w:footnoteRef/>
      </w:r>
      <w:r w:rsidRPr="00710ACB">
        <w:rPr>
          <w:rFonts w:hint="cs"/>
          <w:sz w:val="24"/>
          <w:szCs w:val="24"/>
          <w:rtl/>
        </w:rPr>
        <w:t xml:space="preserve">- </w:t>
      </w:r>
      <w:proofErr w:type="spellStart"/>
      <w:r w:rsidRPr="00710ACB">
        <w:rPr>
          <w:rFonts w:hint="cs"/>
          <w:sz w:val="24"/>
          <w:szCs w:val="24"/>
          <w:rtl/>
        </w:rPr>
        <w:t>الكاساني</w:t>
      </w:r>
      <w:proofErr w:type="spellEnd"/>
      <w:r w:rsidRPr="00710ACB">
        <w:rPr>
          <w:rFonts w:hint="cs"/>
          <w:sz w:val="24"/>
          <w:szCs w:val="24"/>
          <w:rtl/>
        </w:rPr>
        <w:t>، المرجع السابق، ص231.</w:t>
      </w:r>
    </w:p>
  </w:footnote>
  <w:footnote w:id="130">
    <w:p w:rsidR="0012210E" w:rsidRPr="00710ACB" w:rsidRDefault="0012210E" w:rsidP="00C57BE2">
      <w:pPr>
        <w:pStyle w:val="Notedebasdepage"/>
        <w:jc w:val="both"/>
        <w:rPr>
          <w:sz w:val="24"/>
          <w:szCs w:val="24"/>
          <w:rtl/>
        </w:rPr>
      </w:pPr>
      <w:r w:rsidRPr="00710ACB">
        <w:rPr>
          <w:rStyle w:val="Appelnotedebasdep"/>
          <w:sz w:val="24"/>
          <w:szCs w:val="24"/>
        </w:rPr>
        <w:footnoteRef/>
      </w:r>
      <w:r w:rsidRPr="00710ACB">
        <w:rPr>
          <w:rFonts w:hint="cs"/>
          <w:sz w:val="24"/>
          <w:szCs w:val="24"/>
          <w:rtl/>
        </w:rPr>
        <w:t>- الدسوقي، المرجع السابق، ص514.</w:t>
      </w:r>
    </w:p>
  </w:footnote>
  <w:footnote w:id="131">
    <w:p w:rsidR="0012210E" w:rsidRPr="00710ACB" w:rsidRDefault="0012210E" w:rsidP="00C57BE2">
      <w:pPr>
        <w:pStyle w:val="Notedebasdepage"/>
        <w:jc w:val="both"/>
        <w:rPr>
          <w:sz w:val="24"/>
          <w:szCs w:val="24"/>
          <w:rtl/>
        </w:rPr>
      </w:pPr>
      <w:r w:rsidRPr="00710ACB">
        <w:rPr>
          <w:rStyle w:val="Appelnotedebasdep"/>
          <w:sz w:val="24"/>
          <w:szCs w:val="24"/>
        </w:rPr>
        <w:footnoteRef/>
      </w:r>
      <w:r w:rsidRPr="00710ACB">
        <w:rPr>
          <w:rFonts w:hint="cs"/>
          <w:sz w:val="24"/>
          <w:szCs w:val="24"/>
          <w:rtl/>
        </w:rPr>
        <w:t xml:space="preserve">- </w:t>
      </w:r>
      <w:r>
        <w:rPr>
          <w:rFonts w:hint="cs"/>
          <w:sz w:val="24"/>
          <w:szCs w:val="24"/>
          <w:rtl/>
        </w:rPr>
        <w:t>الزبيدي</w:t>
      </w:r>
      <w:r w:rsidRPr="00710ACB">
        <w:rPr>
          <w:rFonts w:hint="cs"/>
          <w:sz w:val="24"/>
          <w:szCs w:val="24"/>
          <w:rtl/>
        </w:rPr>
        <w:t xml:space="preserve">، الجوهرة </w:t>
      </w:r>
      <w:r w:rsidRPr="00B3120D">
        <w:rPr>
          <w:rFonts w:hint="cs"/>
          <w:sz w:val="24"/>
          <w:szCs w:val="24"/>
          <w:rtl/>
        </w:rPr>
        <w:t>المنيرة</w:t>
      </w:r>
      <w:r w:rsidRPr="00710ACB">
        <w:rPr>
          <w:rFonts w:hint="cs"/>
          <w:sz w:val="24"/>
          <w:szCs w:val="24"/>
          <w:rtl/>
        </w:rPr>
        <w:t>، المطبعة الخيرية،</w:t>
      </w:r>
      <w:r>
        <w:rPr>
          <w:rFonts w:hint="cs"/>
          <w:sz w:val="24"/>
          <w:szCs w:val="24"/>
          <w:rtl/>
        </w:rPr>
        <w:t xml:space="preserve"> مصر،</w:t>
      </w:r>
      <w:r w:rsidRPr="00710ACB">
        <w:rPr>
          <w:rFonts w:hint="cs"/>
          <w:sz w:val="24"/>
          <w:szCs w:val="24"/>
          <w:rtl/>
        </w:rPr>
        <w:t xml:space="preserve"> ط1، 1322هـ، ج1، ص84.</w:t>
      </w:r>
    </w:p>
  </w:footnote>
  <w:footnote w:id="132">
    <w:p w:rsidR="0012210E" w:rsidRDefault="0012210E" w:rsidP="00C57BE2">
      <w:pPr>
        <w:pStyle w:val="Notedebasdepage"/>
        <w:jc w:val="both"/>
        <w:rPr>
          <w:rtl/>
        </w:rPr>
      </w:pPr>
      <w:r w:rsidRPr="00710ACB">
        <w:rPr>
          <w:rStyle w:val="Appelnotedebasdep"/>
          <w:sz w:val="24"/>
          <w:szCs w:val="24"/>
        </w:rPr>
        <w:footnoteRef/>
      </w:r>
      <w:r w:rsidRPr="00710ACB">
        <w:rPr>
          <w:rFonts w:hint="cs"/>
          <w:sz w:val="24"/>
          <w:szCs w:val="24"/>
          <w:rtl/>
        </w:rPr>
        <w:t>- سورة الأحزاب، الآية 33.</w:t>
      </w:r>
    </w:p>
  </w:footnote>
  <w:footnote w:id="133">
    <w:p w:rsidR="0012210E" w:rsidRDefault="0012210E" w:rsidP="00C57BE2">
      <w:pPr>
        <w:pStyle w:val="Notedebasdepage"/>
        <w:jc w:val="both"/>
        <w:rPr>
          <w:rtl/>
        </w:rPr>
      </w:pPr>
      <w:r w:rsidRPr="00C3728D">
        <w:rPr>
          <w:rStyle w:val="Appelnotedebasdep"/>
          <w:sz w:val="24"/>
          <w:szCs w:val="24"/>
        </w:rPr>
        <w:footnoteRef/>
      </w:r>
      <w:r w:rsidRPr="00C3728D">
        <w:rPr>
          <w:rFonts w:hint="cs"/>
          <w:sz w:val="24"/>
          <w:szCs w:val="24"/>
          <w:rtl/>
        </w:rPr>
        <w:t xml:space="preserve">- القرطبي، </w:t>
      </w:r>
      <w:r>
        <w:rPr>
          <w:rFonts w:hint="cs"/>
          <w:sz w:val="24"/>
          <w:szCs w:val="24"/>
          <w:rtl/>
        </w:rPr>
        <w:t xml:space="preserve">تفسير القرطبي، دار الكتب المصرية، القاهرة، ط2، 1964م، ج14، ص178. </w:t>
      </w:r>
    </w:p>
  </w:footnote>
  <w:footnote w:id="134">
    <w:p w:rsidR="0012210E" w:rsidRDefault="0012210E" w:rsidP="00C57BE2">
      <w:pPr>
        <w:pStyle w:val="Notedebasdepage"/>
        <w:jc w:val="both"/>
        <w:rPr>
          <w:rtl/>
        </w:rPr>
      </w:pPr>
      <w:r w:rsidRPr="00C3728D">
        <w:rPr>
          <w:rStyle w:val="Appelnotedebasdep"/>
          <w:sz w:val="24"/>
          <w:szCs w:val="24"/>
        </w:rPr>
        <w:footnoteRef/>
      </w:r>
      <w:r w:rsidRPr="00C3728D">
        <w:rPr>
          <w:rFonts w:hint="cs"/>
          <w:sz w:val="24"/>
          <w:szCs w:val="24"/>
          <w:rtl/>
        </w:rPr>
        <w:t>- الجصاص، المرجع السابق،</w:t>
      </w:r>
      <w:r>
        <w:rPr>
          <w:rFonts w:hint="cs"/>
          <w:sz w:val="24"/>
          <w:szCs w:val="24"/>
          <w:rtl/>
        </w:rPr>
        <w:t xml:space="preserve"> ج5،</w:t>
      </w:r>
      <w:r w:rsidRPr="00C3728D">
        <w:rPr>
          <w:rFonts w:hint="cs"/>
          <w:sz w:val="24"/>
          <w:szCs w:val="24"/>
          <w:rtl/>
        </w:rPr>
        <w:t xml:space="preserve"> ص529.</w:t>
      </w:r>
    </w:p>
  </w:footnote>
  <w:footnote w:id="135">
    <w:p w:rsidR="0012210E" w:rsidRDefault="0012210E" w:rsidP="00C57BE2">
      <w:pPr>
        <w:pStyle w:val="Notedebasdepage"/>
        <w:jc w:val="both"/>
        <w:rPr>
          <w:rtl/>
        </w:rPr>
      </w:pPr>
      <w:r w:rsidRPr="00D0650D">
        <w:rPr>
          <w:rStyle w:val="Appelnotedebasdep"/>
          <w:sz w:val="24"/>
          <w:szCs w:val="24"/>
        </w:rPr>
        <w:footnoteRef/>
      </w:r>
      <w:r w:rsidRPr="00D0650D">
        <w:rPr>
          <w:rFonts w:hint="cs"/>
          <w:sz w:val="24"/>
          <w:szCs w:val="24"/>
          <w:rtl/>
        </w:rPr>
        <w:t>- سيد قطب، المرجع السابق،</w:t>
      </w:r>
      <w:r>
        <w:rPr>
          <w:rFonts w:hint="cs"/>
          <w:sz w:val="24"/>
          <w:szCs w:val="24"/>
          <w:rtl/>
        </w:rPr>
        <w:t xml:space="preserve"> ج2،</w:t>
      </w:r>
      <w:r w:rsidRPr="00D0650D">
        <w:rPr>
          <w:rFonts w:hint="cs"/>
          <w:sz w:val="24"/>
          <w:szCs w:val="24"/>
          <w:rtl/>
        </w:rPr>
        <w:t xml:space="preserve"> ص2859.</w:t>
      </w:r>
    </w:p>
  </w:footnote>
  <w:footnote w:id="136">
    <w:p w:rsidR="0012210E" w:rsidRDefault="0012210E" w:rsidP="00C57BE2">
      <w:pPr>
        <w:pStyle w:val="Notedebasdepage"/>
        <w:jc w:val="both"/>
        <w:rPr>
          <w:rtl/>
        </w:rPr>
      </w:pPr>
      <w:r w:rsidRPr="006B23BF">
        <w:rPr>
          <w:rStyle w:val="Appelnotedebasdep"/>
          <w:sz w:val="24"/>
          <w:szCs w:val="24"/>
        </w:rPr>
        <w:footnoteRef/>
      </w:r>
      <w:r w:rsidRPr="006B23BF">
        <w:rPr>
          <w:rFonts w:hint="cs"/>
          <w:sz w:val="24"/>
          <w:szCs w:val="24"/>
          <w:rtl/>
        </w:rPr>
        <w:t xml:space="preserve">- </w:t>
      </w:r>
      <w:proofErr w:type="spellStart"/>
      <w:r w:rsidRPr="006B23BF">
        <w:rPr>
          <w:rFonts w:hint="cs"/>
          <w:sz w:val="24"/>
          <w:szCs w:val="24"/>
          <w:rtl/>
        </w:rPr>
        <w:t>الكاساني</w:t>
      </w:r>
      <w:proofErr w:type="spellEnd"/>
      <w:r w:rsidRPr="006B23BF">
        <w:rPr>
          <w:rFonts w:hint="cs"/>
          <w:sz w:val="24"/>
          <w:szCs w:val="24"/>
          <w:rtl/>
        </w:rPr>
        <w:t>، المرجع السابق،</w:t>
      </w:r>
      <w:r>
        <w:rPr>
          <w:rFonts w:hint="cs"/>
          <w:sz w:val="24"/>
          <w:szCs w:val="24"/>
          <w:rtl/>
        </w:rPr>
        <w:t xml:space="preserve"> ج2،</w:t>
      </w:r>
      <w:r w:rsidRPr="006B23BF">
        <w:rPr>
          <w:rFonts w:hint="cs"/>
          <w:sz w:val="24"/>
          <w:szCs w:val="24"/>
          <w:rtl/>
        </w:rPr>
        <w:t xml:space="preserve"> ص437.</w:t>
      </w:r>
    </w:p>
  </w:footnote>
  <w:footnote w:id="137">
    <w:p w:rsidR="0012210E" w:rsidRDefault="0012210E" w:rsidP="00C57BE2">
      <w:pPr>
        <w:pStyle w:val="Notedebasdepage"/>
        <w:jc w:val="both"/>
        <w:rPr>
          <w:rtl/>
        </w:rPr>
      </w:pPr>
      <w:r w:rsidRPr="005F0685">
        <w:rPr>
          <w:rStyle w:val="Appelnotedebasdep"/>
          <w:sz w:val="24"/>
          <w:szCs w:val="24"/>
        </w:rPr>
        <w:footnoteRef/>
      </w:r>
      <w:r w:rsidRPr="005F0685">
        <w:rPr>
          <w:rFonts w:hint="cs"/>
          <w:sz w:val="24"/>
          <w:szCs w:val="24"/>
          <w:rtl/>
        </w:rPr>
        <w:t xml:space="preserve">- الدسوقي، </w:t>
      </w:r>
      <w:r w:rsidRPr="002075B8">
        <w:rPr>
          <w:rFonts w:hint="cs"/>
          <w:sz w:val="24"/>
          <w:szCs w:val="24"/>
          <w:rtl/>
        </w:rPr>
        <w:t>المرجع السابق</w:t>
      </w:r>
      <w:r w:rsidRPr="005F0685">
        <w:rPr>
          <w:rFonts w:hint="cs"/>
          <w:sz w:val="24"/>
          <w:szCs w:val="24"/>
          <w:rtl/>
        </w:rPr>
        <w:t xml:space="preserve">، </w:t>
      </w:r>
      <w:r>
        <w:rPr>
          <w:rFonts w:hint="cs"/>
          <w:sz w:val="24"/>
          <w:szCs w:val="24"/>
          <w:rtl/>
        </w:rPr>
        <w:t xml:space="preserve">ج3، </w:t>
      </w:r>
      <w:r w:rsidRPr="005F0685">
        <w:rPr>
          <w:rFonts w:hint="cs"/>
          <w:sz w:val="24"/>
          <w:szCs w:val="24"/>
          <w:rtl/>
        </w:rPr>
        <w:t>ص474.</w:t>
      </w:r>
    </w:p>
  </w:footnote>
  <w:footnote w:id="138">
    <w:p w:rsidR="0012210E" w:rsidRPr="00CF3BF3" w:rsidRDefault="0012210E" w:rsidP="00C57BE2">
      <w:pPr>
        <w:pStyle w:val="Notedebasdepage"/>
        <w:jc w:val="both"/>
        <w:rPr>
          <w:sz w:val="24"/>
          <w:szCs w:val="24"/>
        </w:rPr>
      </w:pPr>
      <w:r w:rsidRPr="00CF3BF3">
        <w:rPr>
          <w:rStyle w:val="Appelnotedebasdep"/>
          <w:sz w:val="24"/>
          <w:szCs w:val="24"/>
        </w:rPr>
        <w:footnoteRef/>
      </w:r>
      <w:r w:rsidRPr="00CF3BF3">
        <w:rPr>
          <w:rFonts w:hint="cs"/>
          <w:sz w:val="24"/>
          <w:szCs w:val="24"/>
          <w:rtl/>
        </w:rPr>
        <w:t>- سيد سابق، مرجع سابق، ج2، ص207.</w:t>
      </w:r>
    </w:p>
  </w:footnote>
  <w:footnote w:id="139">
    <w:p w:rsidR="0012210E" w:rsidRDefault="0012210E" w:rsidP="00C57BE2">
      <w:pPr>
        <w:pStyle w:val="Notedebasdepage"/>
        <w:jc w:val="both"/>
        <w:rPr>
          <w:rtl/>
        </w:rPr>
      </w:pPr>
      <w:r w:rsidRPr="00B63A04">
        <w:rPr>
          <w:rStyle w:val="Appelnotedebasdep"/>
          <w:sz w:val="24"/>
          <w:szCs w:val="24"/>
        </w:rPr>
        <w:footnoteRef/>
      </w:r>
      <w:r w:rsidRPr="00B63A04">
        <w:rPr>
          <w:rFonts w:hint="cs"/>
          <w:sz w:val="24"/>
          <w:szCs w:val="24"/>
          <w:rtl/>
        </w:rPr>
        <w:t xml:space="preserve">- الدسوقي، المرجع السابق، </w:t>
      </w:r>
      <w:r>
        <w:rPr>
          <w:rFonts w:hint="cs"/>
          <w:sz w:val="24"/>
          <w:szCs w:val="24"/>
          <w:rtl/>
        </w:rPr>
        <w:t xml:space="preserve">ج3، </w:t>
      </w:r>
      <w:r w:rsidRPr="00B63A04">
        <w:rPr>
          <w:rFonts w:hint="cs"/>
          <w:sz w:val="24"/>
          <w:szCs w:val="24"/>
          <w:rtl/>
        </w:rPr>
        <w:t>ص473.</w:t>
      </w:r>
    </w:p>
  </w:footnote>
  <w:footnote w:id="140">
    <w:p w:rsidR="0012210E" w:rsidRPr="00CF3BF3" w:rsidRDefault="0012210E" w:rsidP="00C57BE2">
      <w:pPr>
        <w:pStyle w:val="Notedebasdepage"/>
        <w:jc w:val="both"/>
        <w:rPr>
          <w:sz w:val="24"/>
          <w:szCs w:val="24"/>
        </w:rPr>
      </w:pPr>
      <w:r w:rsidRPr="00CF3BF3">
        <w:rPr>
          <w:rStyle w:val="Appelnotedebasdep"/>
          <w:sz w:val="24"/>
          <w:szCs w:val="24"/>
        </w:rPr>
        <w:footnoteRef/>
      </w:r>
      <w:r w:rsidRPr="00CF3BF3">
        <w:rPr>
          <w:rFonts w:hint="cs"/>
          <w:sz w:val="24"/>
          <w:szCs w:val="24"/>
          <w:rtl/>
        </w:rPr>
        <w:t>- الم</w:t>
      </w:r>
      <w:r>
        <w:rPr>
          <w:rFonts w:hint="cs"/>
          <w:sz w:val="24"/>
          <w:szCs w:val="24"/>
          <w:rtl/>
        </w:rPr>
        <w:t>ا</w:t>
      </w:r>
      <w:r w:rsidRPr="003A67AE">
        <w:rPr>
          <w:rFonts w:hint="cs"/>
          <w:sz w:val="24"/>
          <w:szCs w:val="24"/>
          <w:rtl/>
        </w:rPr>
        <w:t>ور</w:t>
      </w:r>
      <w:r w:rsidRPr="00CF3BF3">
        <w:rPr>
          <w:rFonts w:hint="cs"/>
          <w:sz w:val="24"/>
          <w:szCs w:val="24"/>
          <w:rtl/>
        </w:rPr>
        <w:t>دي، مرجع سابق، ج9، ص597.</w:t>
      </w:r>
    </w:p>
  </w:footnote>
  <w:footnote w:id="141">
    <w:p w:rsidR="0012210E" w:rsidRPr="00793F3D" w:rsidRDefault="0012210E" w:rsidP="00C57BE2">
      <w:pPr>
        <w:pStyle w:val="Notedebasdepage"/>
        <w:jc w:val="both"/>
        <w:rPr>
          <w:sz w:val="24"/>
          <w:szCs w:val="24"/>
        </w:rPr>
      </w:pPr>
      <w:r w:rsidRPr="003A67AE">
        <w:rPr>
          <w:rStyle w:val="Appelnotedebasdep"/>
          <w:sz w:val="24"/>
          <w:szCs w:val="24"/>
        </w:rPr>
        <w:footnoteRef/>
      </w:r>
      <w:r w:rsidRPr="003A67AE">
        <w:rPr>
          <w:rFonts w:hint="cs"/>
          <w:sz w:val="24"/>
          <w:szCs w:val="24"/>
          <w:rtl/>
        </w:rPr>
        <w:t>- أخرجه النسائي في الكبرى (11930).</w:t>
      </w:r>
    </w:p>
  </w:footnote>
  <w:footnote w:id="142">
    <w:p w:rsidR="0012210E" w:rsidRPr="00793F3D" w:rsidRDefault="0012210E" w:rsidP="00C57BE2">
      <w:pPr>
        <w:pStyle w:val="Notedebasdepage"/>
        <w:jc w:val="both"/>
        <w:rPr>
          <w:sz w:val="24"/>
          <w:szCs w:val="24"/>
        </w:rPr>
      </w:pPr>
      <w:r w:rsidRPr="00793F3D">
        <w:rPr>
          <w:rStyle w:val="Appelnotedebasdep"/>
          <w:sz w:val="24"/>
          <w:szCs w:val="24"/>
        </w:rPr>
        <w:footnoteRef/>
      </w:r>
      <w:r w:rsidRPr="00793F3D">
        <w:rPr>
          <w:rFonts w:hint="cs"/>
          <w:sz w:val="24"/>
          <w:szCs w:val="24"/>
          <w:rtl/>
        </w:rPr>
        <w:t>- أخرجه البخاري (09/258) في النكاح، باب إذا باتت المرأة مهاجرة فراش زوجها.</w:t>
      </w:r>
    </w:p>
  </w:footnote>
  <w:footnote w:id="143">
    <w:p w:rsidR="0012210E" w:rsidRPr="00793F3D" w:rsidRDefault="0012210E" w:rsidP="00C57BE2">
      <w:pPr>
        <w:pStyle w:val="Notedebasdepage"/>
        <w:jc w:val="both"/>
        <w:rPr>
          <w:color w:val="000000" w:themeColor="text1"/>
          <w:rtl/>
        </w:rPr>
      </w:pPr>
      <w:r w:rsidRPr="00793F3D">
        <w:rPr>
          <w:rStyle w:val="Appelnotedebasdep"/>
          <w:color w:val="000000" w:themeColor="text1"/>
          <w:sz w:val="24"/>
          <w:szCs w:val="24"/>
        </w:rPr>
        <w:footnoteRef/>
      </w:r>
      <w:r w:rsidRPr="00793F3D">
        <w:rPr>
          <w:rFonts w:hint="cs"/>
          <w:color w:val="000000" w:themeColor="text1"/>
          <w:sz w:val="24"/>
          <w:szCs w:val="24"/>
          <w:rtl/>
        </w:rPr>
        <w:t>- الد</w:t>
      </w:r>
      <w:r>
        <w:rPr>
          <w:rFonts w:hint="cs"/>
          <w:color w:val="000000" w:themeColor="text1"/>
          <w:sz w:val="24"/>
          <w:szCs w:val="24"/>
          <w:rtl/>
        </w:rPr>
        <w:t xml:space="preserve">سوقي، المرجع السابق،ج3، ص52. </w:t>
      </w:r>
    </w:p>
  </w:footnote>
  <w:footnote w:id="144">
    <w:p w:rsidR="0012210E" w:rsidRDefault="0012210E" w:rsidP="00C57BE2">
      <w:pPr>
        <w:pStyle w:val="Notedebasdepage"/>
        <w:jc w:val="both"/>
        <w:rPr>
          <w:rtl/>
        </w:rPr>
      </w:pPr>
      <w:r w:rsidRPr="001711AF">
        <w:rPr>
          <w:rStyle w:val="Appelnotedebasdep"/>
          <w:sz w:val="24"/>
          <w:szCs w:val="24"/>
        </w:rPr>
        <w:footnoteRef/>
      </w:r>
      <w:r w:rsidRPr="001711AF">
        <w:rPr>
          <w:rFonts w:hint="cs"/>
          <w:sz w:val="24"/>
          <w:szCs w:val="24"/>
          <w:rtl/>
        </w:rPr>
        <w:t xml:space="preserve">- علي محمد علي قاسم، نشوز الزوجة، دار الجامعة الجديدة للنشر، الإسكندرية، </w:t>
      </w:r>
      <w:proofErr w:type="spellStart"/>
      <w:r w:rsidRPr="001711AF">
        <w:rPr>
          <w:rFonts w:hint="cs"/>
          <w:sz w:val="24"/>
          <w:szCs w:val="24"/>
          <w:rtl/>
        </w:rPr>
        <w:t>د.ط</w:t>
      </w:r>
      <w:proofErr w:type="spellEnd"/>
      <w:r w:rsidRPr="001711AF">
        <w:rPr>
          <w:rFonts w:hint="cs"/>
          <w:sz w:val="24"/>
          <w:szCs w:val="24"/>
          <w:rtl/>
        </w:rPr>
        <w:t>، 2003، ص88.</w:t>
      </w:r>
    </w:p>
  </w:footnote>
  <w:footnote w:id="145">
    <w:p w:rsidR="0012210E" w:rsidRDefault="0012210E" w:rsidP="00C57BE2">
      <w:pPr>
        <w:pStyle w:val="Notedebasdepage"/>
        <w:jc w:val="both"/>
        <w:rPr>
          <w:rtl/>
        </w:rPr>
      </w:pPr>
      <w:r w:rsidRPr="001711AF">
        <w:rPr>
          <w:rStyle w:val="Appelnotedebasdep"/>
          <w:sz w:val="24"/>
          <w:szCs w:val="24"/>
        </w:rPr>
        <w:footnoteRef/>
      </w:r>
      <w:r w:rsidRPr="001711AF">
        <w:rPr>
          <w:rFonts w:hint="cs"/>
          <w:sz w:val="24"/>
          <w:szCs w:val="24"/>
          <w:rtl/>
        </w:rPr>
        <w:t>- سورة النساء، الآية 19.</w:t>
      </w:r>
    </w:p>
  </w:footnote>
  <w:footnote w:id="146">
    <w:p w:rsidR="0012210E" w:rsidRDefault="0012210E" w:rsidP="00C57BE2">
      <w:pPr>
        <w:pStyle w:val="Notedebasdepage"/>
        <w:jc w:val="both"/>
        <w:rPr>
          <w:rtl/>
        </w:rPr>
      </w:pPr>
      <w:r w:rsidRPr="003A67AE">
        <w:rPr>
          <w:rStyle w:val="Appelnotedebasdep"/>
          <w:sz w:val="24"/>
          <w:szCs w:val="24"/>
        </w:rPr>
        <w:footnoteRef/>
      </w:r>
      <w:r w:rsidRPr="003A67AE">
        <w:rPr>
          <w:rFonts w:hint="cs"/>
          <w:sz w:val="24"/>
          <w:szCs w:val="24"/>
          <w:rtl/>
        </w:rPr>
        <w:t>- أخرجه النسائي في الكبرى</w:t>
      </w:r>
      <w:r>
        <w:rPr>
          <w:rFonts w:hint="cs"/>
          <w:sz w:val="24"/>
          <w:szCs w:val="24"/>
          <w:rtl/>
        </w:rPr>
        <w:t xml:space="preserve"> (11930).</w:t>
      </w:r>
    </w:p>
  </w:footnote>
  <w:footnote w:id="147">
    <w:p w:rsidR="0012210E" w:rsidRPr="00120494" w:rsidRDefault="0012210E" w:rsidP="00C57BE2">
      <w:pPr>
        <w:pStyle w:val="Notedebasdepage"/>
        <w:jc w:val="both"/>
        <w:rPr>
          <w:sz w:val="24"/>
          <w:szCs w:val="24"/>
        </w:rPr>
      </w:pPr>
      <w:r w:rsidRPr="00120494">
        <w:rPr>
          <w:rStyle w:val="Appelnotedebasdep"/>
          <w:sz w:val="24"/>
          <w:szCs w:val="24"/>
        </w:rPr>
        <w:footnoteRef/>
      </w:r>
      <w:r w:rsidRPr="00120494">
        <w:rPr>
          <w:rFonts w:hint="cs"/>
          <w:sz w:val="24"/>
          <w:szCs w:val="24"/>
          <w:rtl/>
        </w:rPr>
        <w:t>- عي محمد علي سليمان، مرجع سابق، ص90.</w:t>
      </w:r>
    </w:p>
  </w:footnote>
  <w:footnote w:id="148">
    <w:p w:rsidR="0012210E" w:rsidRDefault="0012210E" w:rsidP="00C57BE2">
      <w:pPr>
        <w:pStyle w:val="Notedebasdepage"/>
        <w:jc w:val="both"/>
        <w:rPr>
          <w:rtl/>
        </w:rPr>
      </w:pPr>
      <w:r w:rsidRPr="00B446F1">
        <w:rPr>
          <w:rStyle w:val="Appelnotedebasdep"/>
          <w:sz w:val="24"/>
          <w:szCs w:val="24"/>
        </w:rPr>
        <w:footnoteRef/>
      </w:r>
      <w:r w:rsidRPr="00B446F1">
        <w:rPr>
          <w:rFonts w:hint="cs"/>
          <w:sz w:val="24"/>
          <w:szCs w:val="24"/>
          <w:rtl/>
        </w:rPr>
        <w:t>- سورة النساء، الآية 128.</w:t>
      </w:r>
    </w:p>
  </w:footnote>
  <w:footnote w:id="149">
    <w:p w:rsidR="0012210E" w:rsidRPr="00FE669B" w:rsidRDefault="0012210E" w:rsidP="00C57BE2">
      <w:pPr>
        <w:pStyle w:val="Notedebasdepage"/>
        <w:jc w:val="both"/>
        <w:rPr>
          <w:sz w:val="24"/>
          <w:szCs w:val="24"/>
        </w:rPr>
      </w:pPr>
      <w:r w:rsidRPr="00FE669B">
        <w:rPr>
          <w:rStyle w:val="Appelnotedebasdep"/>
          <w:sz w:val="24"/>
          <w:szCs w:val="24"/>
        </w:rPr>
        <w:footnoteRef/>
      </w:r>
      <w:r w:rsidRPr="00FE669B">
        <w:rPr>
          <w:rFonts w:hint="cs"/>
          <w:sz w:val="24"/>
          <w:szCs w:val="24"/>
          <w:rtl/>
        </w:rPr>
        <w:t xml:space="preserve">- يحي بن محمد بن هبيرة الذهلي الشيباني وآخرون، </w:t>
      </w:r>
      <w:proofErr w:type="spellStart"/>
      <w:r w:rsidRPr="00FE669B">
        <w:rPr>
          <w:rFonts w:hint="cs"/>
          <w:sz w:val="24"/>
          <w:szCs w:val="24"/>
          <w:rtl/>
        </w:rPr>
        <w:t>إختلاف</w:t>
      </w:r>
      <w:proofErr w:type="spellEnd"/>
      <w:r w:rsidRPr="00FE669B">
        <w:rPr>
          <w:rFonts w:hint="cs"/>
          <w:sz w:val="24"/>
          <w:szCs w:val="24"/>
          <w:rtl/>
        </w:rPr>
        <w:t xml:space="preserve"> الأئمة العلماء، دار الكتب العلمية، بيروت، ط1، 2002م، ج2، ص161. </w:t>
      </w:r>
    </w:p>
  </w:footnote>
  <w:footnote w:id="150">
    <w:p w:rsidR="0012210E" w:rsidRDefault="0012210E" w:rsidP="00C57BE2">
      <w:pPr>
        <w:pStyle w:val="Notedebasdepage"/>
        <w:jc w:val="both"/>
        <w:rPr>
          <w:rtl/>
        </w:rPr>
      </w:pPr>
      <w:r w:rsidRPr="00F809F4">
        <w:rPr>
          <w:rStyle w:val="Appelnotedebasdep"/>
          <w:sz w:val="24"/>
          <w:szCs w:val="24"/>
        </w:rPr>
        <w:footnoteRef/>
      </w:r>
      <w:r w:rsidRPr="00F809F4">
        <w:rPr>
          <w:rFonts w:hint="cs"/>
          <w:sz w:val="24"/>
          <w:szCs w:val="24"/>
          <w:rtl/>
        </w:rPr>
        <w:t xml:space="preserve">- </w:t>
      </w:r>
      <w:r>
        <w:rPr>
          <w:rFonts w:hint="cs"/>
          <w:sz w:val="24"/>
          <w:szCs w:val="24"/>
          <w:rtl/>
        </w:rPr>
        <w:t>سورة النساء، الآية 128.</w:t>
      </w:r>
    </w:p>
  </w:footnote>
  <w:footnote w:id="151">
    <w:p w:rsidR="0012210E" w:rsidRPr="00FE669B" w:rsidRDefault="0012210E" w:rsidP="00C57BE2">
      <w:pPr>
        <w:pStyle w:val="Notedebasdepage"/>
        <w:jc w:val="both"/>
        <w:rPr>
          <w:sz w:val="24"/>
          <w:szCs w:val="24"/>
        </w:rPr>
      </w:pPr>
      <w:r w:rsidRPr="00FE669B">
        <w:rPr>
          <w:rStyle w:val="Appelnotedebasdep"/>
          <w:sz w:val="24"/>
          <w:szCs w:val="24"/>
        </w:rPr>
        <w:footnoteRef/>
      </w:r>
      <w:r w:rsidRPr="00FE669B">
        <w:rPr>
          <w:rFonts w:hint="cs"/>
          <w:sz w:val="24"/>
          <w:szCs w:val="24"/>
          <w:rtl/>
        </w:rPr>
        <w:t>- عبد الله بن محمد الطيار وآخرون، الفقه الميسر، مدار الوطن للنشر، الرياض، ط2، 2012م، ج5، ص76.</w:t>
      </w:r>
    </w:p>
  </w:footnote>
  <w:footnote w:id="152">
    <w:p w:rsidR="0012210E" w:rsidRDefault="0012210E" w:rsidP="00C57BE2">
      <w:pPr>
        <w:pStyle w:val="Notedebasdepage"/>
        <w:jc w:val="both"/>
        <w:rPr>
          <w:rtl/>
        </w:rPr>
      </w:pPr>
      <w:r w:rsidRPr="00F809F4">
        <w:rPr>
          <w:rStyle w:val="Appelnotedebasdep"/>
          <w:sz w:val="24"/>
          <w:szCs w:val="24"/>
        </w:rPr>
        <w:footnoteRef/>
      </w:r>
      <w:r w:rsidRPr="00F809F4">
        <w:rPr>
          <w:rFonts w:hint="cs"/>
          <w:sz w:val="24"/>
          <w:szCs w:val="24"/>
          <w:rtl/>
        </w:rPr>
        <w:t xml:space="preserve">- </w:t>
      </w:r>
      <w:r>
        <w:rPr>
          <w:rFonts w:hint="cs"/>
          <w:sz w:val="24"/>
          <w:szCs w:val="24"/>
          <w:rtl/>
        </w:rPr>
        <w:t>سورة النساء، الآية 128.</w:t>
      </w:r>
    </w:p>
  </w:footnote>
  <w:footnote w:id="153">
    <w:p w:rsidR="0012210E" w:rsidRDefault="0012210E" w:rsidP="00C57BE2">
      <w:pPr>
        <w:pStyle w:val="Notedebasdepage"/>
        <w:jc w:val="both"/>
        <w:rPr>
          <w:rtl/>
        </w:rPr>
      </w:pPr>
      <w:r w:rsidRPr="005E3E84">
        <w:rPr>
          <w:rStyle w:val="Appelnotedebasdep"/>
          <w:sz w:val="24"/>
          <w:szCs w:val="24"/>
        </w:rPr>
        <w:footnoteRef/>
      </w:r>
      <w:r w:rsidRPr="005E3E84">
        <w:rPr>
          <w:rFonts w:hint="cs"/>
          <w:sz w:val="24"/>
          <w:szCs w:val="24"/>
          <w:rtl/>
        </w:rPr>
        <w:t>- سورة النساء، الآية 34.</w:t>
      </w:r>
    </w:p>
  </w:footnote>
  <w:footnote w:id="154">
    <w:p w:rsidR="0012210E" w:rsidRPr="00FE669B" w:rsidRDefault="0012210E" w:rsidP="00C57BE2">
      <w:pPr>
        <w:pStyle w:val="Notedebasdepage"/>
        <w:jc w:val="both"/>
        <w:rPr>
          <w:sz w:val="24"/>
          <w:szCs w:val="24"/>
        </w:rPr>
      </w:pPr>
      <w:r w:rsidRPr="00FE669B">
        <w:rPr>
          <w:rStyle w:val="Appelnotedebasdep"/>
          <w:sz w:val="24"/>
          <w:szCs w:val="24"/>
        </w:rPr>
        <w:footnoteRef/>
      </w:r>
      <w:r w:rsidRPr="00FE669B">
        <w:rPr>
          <w:rFonts w:hint="cs"/>
          <w:sz w:val="24"/>
          <w:szCs w:val="24"/>
          <w:rtl/>
        </w:rPr>
        <w:t>- أخرجه البخاري (9/258) في النكاح، باب باتت المرأة مهاجرة فراش زوجها.</w:t>
      </w:r>
    </w:p>
  </w:footnote>
  <w:footnote w:id="155">
    <w:p w:rsidR="0012210E" w:rsidRDefault="0012210E" w:rsidP="00C57BE2">
      <w:pPr>
        <w:pStyle w:val="Notedebasdepage"/>
        <w:jc w:val="both"/>
      </w:pPr>
      <w:r w:rsidRPr="00FE669B">
        <w:rPr>
          <w:rStyle w:val="Appelnotedebasdep"/>
          <w:sz w:val="24"/>
          <w:szCs w:val="24"/>
        </w:rPr>
        <w:footnoteRef/>
      </w:r>
      <w:r w:rsidRPr="00FE669B">
        <w:rPr>
          <w:rFonts w:hint="cs"/>
          <w:sz w:val="24"/>
          <w:szCs w:val="24"/>
          <w:rtl/>
        </w:rPr>
        <w:t>- عبد بن عبد الله الحربي، مرجع سابق، ج1، ص29.</w:t>
      </w:r>
    </w:p>
  </w:footnote>
  <w:footnote w:id="156">
    <w:p w:rsidR="0012210E" w:rsidRDefault="0012210E" w:rsidP="00C57BE2">
      <w:pPr>
        <w:pStyle w:val="Notedebasdepage"/>
        <w:jc w:val="both"/>
        <w:rPr>
          <w:rtl/>
        </w:rPr>
      </w:pPr>
      <w:r w:rsidRPr="005E3E84">
        <w:rPr>
          <w:rStyle w:val="Appelnotedebasdep"/>
          <w:sz w:val="24"/>
          <w:szCs w:val="24"/>
        </w:rPr>
        <w:footnoteRef/>
      </w:r>
      <w:r w:rsidRPr="005E3E84">
        <w:rPr>
          <w:rFonts w:hint="cs"/>
          <w:sz w:val="24"/>
          <w:szCs w:val="24"/>
          <w:rtl/>
        </w:rPr>
        <w:t xml:space="preserve">- </w:t>
      </w:r>
      <w:proofErr w:type="spellStart"/>
      <w:r w:rsidRPr="005E3E84">
        <w:rPr>
          <w:rFonts w:hint="cs"/>
          <w:sz w:val="24"/>
          <w:szCs w:val="24"/>
          <w:rtl/>
        </w:rPr>
        <w:t>الكاساني</w:t>
      </w:r>
      <w:proofErr w:type="spellEnd"/>
      <w:r w:rsidRPr="005E3E84">
        <w:rPr>
          <w:rFonts w:hint="cs"/>
          <w:sz w:val="24"/>
          <w:szCs w:val="24"/>
          <w:rtl/>
        </w:rPr>
        <w:t>، المرجع السابق،</w:t>
      </w:r>
      <w:r>
        <w:rPr>
          <w:rFonts w:hint="cs"/>
          <w:sz w:val="24"/>
          <w:szCs w:val="24"/>
          <w:rtl/>
        </w:rPr>
        <w:t xml:space="preserve"> ج2،</w:t>
      </w:r>
      <w:r w:rsidRPr="005E3E84">
        <w:rPr>
          <w:rFonts w:hint="cs"/>
          <w:sz w:val="24"/>
          <w:szCs w:val="24"/>
          <w:rtl/>
        </w:rPr>
        <w:t xml:space="preserve"> ص234.</w:t>
      </w:r>
    </w:p>
  </w:footnote>
  <w:footnote w:id="157">
    <w:p w:rsidR="0012210E" w:rsidRDefault="0012210E" w:rsidP="00C57BE2">
      <w:pPr>
        <w:pStyle w:val="Notedebasdepage"/>
        <w:jc w:val="both"/>
        <w:rPr>
          <w:rtl/>
        </w:rPr>
      </w:pPr>
      <w:r w:rsidRPr="005E3E84">
        <w:rPr>
          <w:rStyle w:val="Appelnotedebasdep"/>
          <w:sz w:val="24"/>
          <w:szCs w:val="24"/>
        </w:rPr>
        <w:footnoteRef/>
      </w:r>
      <w:r w:rsidRPr="005E3E84">
        <w:rPr>
          <w:rFonts w:hint="cs"/>
          <w:sz w:val="24"/>
          <w:szCs w:val="24"/>
          <w:rtl/>
        </w:rPr>
        <w:t>- الجصاص، المرجع السابق،</w:t>
      </w:r>
      <w:r>
        <w:rPr>
          <w:rFonts w:hint="cs"/>
          <w:sz w:val="24"/>
          <w:szCs w:val="24"/>
          <w:rtl/>
        </w:rPr>
        <w:t xml:space="preserve"> ج3،</w:t>
      </w:r>
      <w:r w:rsidRPr="005E3E84">
        <w:rPr>
          <w:rFonts w:hint="cs"/>
          <w:sz w:val="24"/>
          <w:szCs w:val="24"/>
          <w:rtl/>
        </w:rPr>
        <w:t xml:space="preserve"> ص268.</w:t>
      </w:r>
    </w:p>
  </w:footnote>
  <w:footnote w:id="158">
    <w:p w:rsidR="0012210E" w:rsidRDefault="0012210E" w:rsidP="00C57BE2">
      <w:pPr>
        <w:pStyle w:val="Notedebasdepage"/>
        <w:jc w:val="both"/>
        <w:rPr>
          <w:rtl/>
        </w:rPr>
      </w:pPr>
      <w:r w:rsidRPr="00302482">
        <w:rPr>
          <w:rStyle w:val="Appelnotedebasdep"/>
          <w:sz w:val="24"/>
          <w:szCs w:val="24"/>
        </w:rPr>
        <w:footnoteRef/>
      </w:r>
      <w:r w:rsidRPr="00302482">
        <w:rPr>
          <w:rFonts w:hint="cs"/>
          <w:sz w:val="24"/>
          <w:szCs w:val="24"/>
          <w:rtl/>
        </w:rPr>
        <w:t>- النووي، المرجع السابق، ص127.</w:t>
      </w:r>
    </w:p>
  </w:footnote>
  <w:footnote w:id="159">
    <w:p w:rsidR="0012210E" w:rsidRDefault="0012210E" w:rsidP="00C57BE2">
      <w:pPr>
        <w:pStyle w:val="Notedebasdepage"/>
        <w:jc w:val="both"/>
        <w:rPr>
          <w:rtl/>
        </w:rPr>
      </w:pPr>
      <w:r w:rsidRPr="00302482">
        <w:rPr>
          <w:rStyle w:val="Appelnotedebasdep"/>
          <w:sz w:val="24"/>
          <w:szCs w:val="24"/>
        </w:rPr>
        <w:footnoteRef/>
      </w:r>
      <w:r w:rsidRPr="00302482">
        <w:rPr>
          <w:rFonts w:hint="cs"/>
          <w:sz w:val="24"/>
          <w:szCs w:val="24"/>
          <w:rtl/>
        </w:rPr>
        <w:t>- الماوردي، المرجع السابق،</w:t>
      </w:r>
      <w:r>
        <w:rPr>
          <w:rFonts w:hint="cs"/>
          <w:sz w:val="24"/>
          <w:szCs w:val="24"/>
          <w:rtl/>
        </w:rPr>
        <w:t xml:space="preserve"> ج9،</w:t>
      </w:r>
      <w:r w:rsidRPr="00302482">
        <w:rPr>
          <w:rFonts w:hint="cs"/>
          <w:sz w:val="24"/>
          <w:szCs w:val="24"/>
          <w:rtl/>
        </w:rPr>
        <w:t xml:space="preserve"> ص</w:t>
      </w:r>
      <w:r>
        <w:rPr>
          <w:rFonts w:hint="cs"/>
          <w:sz w:val="24"/>
          <w:szCs w:val="24"/>
          <w:rtl/>
        </w:rPr>
        <w:t>597</w:t>
      </w:r>
      <w:r w:rsidRPr="00302482">
        <w:rPr>
          <w:rFonts w:hint="cs"/>
          <w:sz w:val="24"/>
          <w:szCs w:val="24"/>
          <w:rtl/>
        </w:rPr>
        <w:t>.</w:t>
      </w:r>
    </w:p>
  </w:footnote>
  <w:footnote w:id="160">
    <w:p w:rsidR="0012210E" w:rsidRPr="00E4058D" w:rsidRDefault="0012210E" w:rsidP="00C57BE2">
      <w:pPr>
        <w:pStyle w:val="Notedebasdepage"/>
        <w:jc w:val="both"/>
        <w:rPr>
          <w:sz w:val="24"/>
          <w:szCs w:val="24"/>
        </w:rPr>
      </w:pPr>
      <w:r w:rsidRPr="00E4058D">
        <w:rPr>
          <w:rStyle w:val="Appelnotedebasdep"/>
          <w:sz w:val="24"/>
          <w:szCs w:val="24"/>
        </w:rPr>
        <w:footnoteRef/>
      </w:r>
      <w:r w:rsidRPr="00E4058D">
        <w:rPr>
          <w:rFonts w:hint="cs"/>
          <w:sz w:val="24"/>
          <w:szCs w:val="24"/>
          <w:rtl/>
        </w:rPr>
        <w:t xml:space="preserve">- محمد أحمد إسماعيل المقدم، عودة الحجاب، دار </w:t>
      </w:r>
      <w:proofErr w:type="spellStart"/>
      <w:r w:rsidRPr="00E4058D">
        <w:rPr>
          <w:rFonts w:hint="cs"/>
          <w:sz w:val="24"/>
          <w:szCs w:val="24"/>
          <w:rtl/>
        </w:rPr>
        <w:t>إبن</w:t>
      </w:r>
      <w:proofErr w:type="spellEnd"/>
      <w:r w:rsidRPr="00E4058D">
        <w:rPr>
          <w:rFonts w:hint="cs"/>
          <w:sz w:val="24"/>
          <w:szCs w:val="24"/>
          <w:rtl/>
        </w:rPr>
        <w:t xml:space="preserve"> الجوزي، القاهرة، ط1، 2005م، ج2، ص457.</w:t>
      </w:r>
    </w:p>
  </w:footnote>
  <w:footnote w:id="161">
    <w:p w:rsidR="0012210E" w:rsidRDefault="0012210E" w:rsidP="00C57BE2">
      <w:pPr>
        <w:pStyle w:val="Notedebasdepage"/>
        <w:jc w:val="both"/>
        <w:rPr>
          <w:rtl/>
        </w:rPr>
      </w:pPr>
      <w:r w:rsidRPr="00302482">
        <w:rPr>
          <w:rStyle w:val="Appelnotedebasdep"/>
          <w:sz w:val="24"/>
          <w:szCs w:val="24"/>
        </w:rPr>
        <w:footnoteRef/>
      </w:r>
      <w:r w:rsidRPr="00302482">
        <w:rPr>
          <w:rFonts w:hint="cs"/>
          <w:sz w:val="24"/>
          <w:szCs w:val="24"/>
          <w:rtl/>
        </w:rPr>
        <w:t xml:space="preserve">- الجصاص، </w:t>
      </w:r>
      <w:r>
        <w:rPr>
          <w:rFonts w:hint="cs"/>
          <w:sz w:val="24"/>
          <w:szCs w:val="24"/>
          <w:rtl/>
        </w:rPr>
        <w:t>مرجع سابق</w:t>
      </w:r>
      <w:r w:rsidRPr="00302482">
        <w:rPr>
          <w:rFonts w:hint="cs"/>
          <w:sz w:val="24"/>
          <w:szCs w:val="24"/>
          <w:rtl/>
        </w:rPr>
        <w:t>،</w:t>
      </w:r>
      <w:r>
        <w:rPr>
          <w:rFonts w:hint="cs"/>
          <w:sz w:val="24"/>
          <w:szCs w:val="24"/>
          <w:rtl/>
        </w:rPr>
        <w:t xml:space="preserve"> ج3</w:t>
      </w:r>
      <w:r w:rsidRPr="00302482">
        <w:rPr>
          <w:rFonts w:hint="cs"/>
          <w:sz w:val="24"/>
          <w:szCs w:val="24"/>
          <w:rtl/>
        </w:rPr>
        <w:t xml:space="preserve"> ص 268</w:t>
      </w:r>
      <w:r>
        <w:rPr>
          <w:rFonts w:hint="cs"/>
          <w:sz w:val="24"/>
          <w:szCs w:val="24"/>
          <w:rtl/>
        </w:rPr>
        <w:t>.</w:t>
      </w:r>
    </w:p>
  </w:footnote>
  <w:footnote w:id="162">
    <w:p w:rsidR="0012210E" w:rsidRDefault="0012210E" w:rsidP="00C57BE2">
      <w:pPr>
        <w:pStyle w:val="Notedebasdepage"/>
        <w:jc w:val="both"/>
        <w:rPr>
          <w:rtl/>
        </w:rPr>
      </w:pPr>
      <w:r w:rsidRPr="00547EDD">
        <w:rPr>
          <w:rStyle w:val="Appelnotedebasdep"/>
          <w:sz w:val="24"/>
          <w:szCs w:val="24"/>
        </w:rPr>
        <w:footnoteRef/>
      </w:r>
      <w:r w:rsidRPr="00547EDD">
        <w:rPr>
          <w:rFonts w:hint="cs"/>
          <w:sz w:val="24"/>
          <w:szCs w:val="24"/>
          <w:rtl/>
        </w:rPr>
        <w:t xml:space="preserve">- النووي، </w:t>
      </w:r>
      <w:r>
        <w:rPr>
          <w:rFonts w:hint="cs"/>
          <w:sz w:val="24"/>
          <w:szCs w:val="24"/>
          <w:rtl/>
        </w:rPr>
        <w:t>مرجع سابق</w:t>
      </w:r>
      <w:r w:rsidRPr="00547EDD">
        <w:rPr>
          <w:rFonts w:hint="cs"/>
          <w:sz w:val="24"/>
          <w:szCs w:val="24"/>
          <w:rtl/>
        </w:rPr>
        <w:t>، ص127.</w:t>
      </w:r>
    </w:p>
  </w:footnote>
  <w:footnote w:id="163">
    <w:p w:rsidR="0012210E" w:rsidRDefault="0012210E" w:rsidP="00C57BE2">
      <w:pPr>
        <w:pStyle w:val="Notedebasdepage"/>
        <w:jc w:val="both"/>
        <w:rPr>
          <w:rtl/>
        </w:rPr>
      </w:pPr>
      <w:r w:rsidRPr="00547EDD">
        <w:rPr>
          <w:rStyle w:val="Appelnotedebasdep"/>
          <w:sz w:val="24"/>
          <w:szCs w:val="24"/>
        </w:rPr>
        <w:footnoteRef/>
      </w:r>
      <w:r w:rsidRPr="00547EDD">
        <w:rPr>
          <w:rFonts w:hint="cs"/>
          <w:sz w:val="24"/>
          <w:szCs w:val="24"/>
          <w:rtl/>
        </w:rPr>
        <w:t xml:space="preserve">- أحمد بن عبد العزيز السليمان الحمدان، </w:t>
      </w:r>
      <w:r>
        <w:rPr>
          <w:rFonts w:hint="cs"/>
          <w:sz w:val="24"/>
          <w:szCs w:val="24"/>
          <w:rtl/>
        </w:rPr>
        <w:t>المرجع السابق</w:t>
      </w:r>
      <w:r w:rsidRPr="00547EDD">
        <w:rPr>
          <w:rFonts w:hint="cs"/>
          <w:sz w:val="24"/>
          <w:szCs w:val="24"/>
          <w:rtl/>
        </w:rPr>
        <w:t>، ج 4، ص348.</w:t>
      </w:r>
    </w:p>
  </w:footnote>
  <w:footnote w:id="164">
    <w:p w:rsidR="0012210E" w:rsidRDefault="0012210E" w:rsidP="00C57BE2">
      <w:pPr>
        <w:pStyle w:val="Notedebasdepage"/>
        <w:jc w:val="both"/>
        <w:rPr>
          <w:rtl/>
        </w:rPr>
      </w:pPr>
      <w:r w:rsidRPr="00547EDD">
        <w:rPr>
          <w:rStyle w:val="Appelnotedebasdep"/>
          <w:sz w:val="24"/>
          <w:szCs w:val="24"/>
        </w:rPr>
        <w:footnoteRef/>
      </w:r>
      <w:r w:rsidRPr="00547EDD">
        <w:rPr>
          <w:rFonts w:hint="cs"/>
          <w:sz w:val="24"/>
          <w:szCs w:val="24"/>
          <w:rtl/>
        </w:rPr>
        <w:t xml:space="preserve">- </w:t>
      </w:r>
      <w:r w:rsidRPr="00E4058D">
        <w:rPr>
          <w:rFonts w:hint="cs"/>
          <w:sz w:val="24"/>
          <w:szCs w:val="24"/>
          <w:rtl/>
        </w:rPr>
        <w:t>عبد الله محمد، جامع العلم</w:t>
      </w:r>
      <w:r w:rsidRPr="00547EDD">
        <w:rPr>
          <w:rFonts w:hint="cs"/>
          <w:sz w:val="24"/>
          <w:szCs w:val="24"/>
          <w:rtl/>
        </w:rPr>
        <w:t>، دار الآثار،</w:t>
      </w:r>
      <w:r>
        <w:rPr>
          <w:rFonts w:hint="cs"/>
          <w:sz w:val="24"/>
          <w:szCs w:val="24"/>
          <w:rtl/>
        </w:rPr>
        <w:t xml:space="preserve"> اليمن،</w:t>
      </w:r>
      <w:r w:rsidRPr="00547EDD">
        <w:rPr>
          <w:rFonts w:hint="cs"/>
          <w:sz w:val="24"/>
          <w:szCs w:val="24"/>
          <w:rtl/>
        </w:rPr>
        <w:t xml:space="preserve"> ط1، 2002، ج 1، ص46.</w:t>
      </w:r>
    </w:p>
  </w:footnote>
  <w:footnote w:id="165">
    <w:p w:rsidR="0012210E" w:rsidRDefault="0012210E" w:rsidP="00C57BE2">
      <w:pPr>
        <w:pStyle w:val="Notedebasdepage"/>
        <w:jc w:val="both"/>
        <w:rPr>
          <w:rtl/>
        </w:rPr>
      </w:pPr>
      <w:r w:rsidRPr="00547EDD">
        <w:rPr>
          <w:rStyle w:val="Appelnotedebasdep"/>
          <w:sz w:val="24"/>
          <w:szCs w:val="24"/>
        </w:rPr>
        <w:footnoteRef/>
      </w:r>
      <w:r w:rsidRPr="00547EDD">
        <w:rPr>
          <w:rFonts w:hint="cs"/>
          <w:sz w:val="24"/>
          <w:szCs w:val="24"/>
          <w:rtl/>
        </w:rPr>
        <w:t>- سورة النساء، الآية 34.</w:t>
      </w:r>
    </w:p>
  </w:footnote>
  <w:footnote w:id="166">
    <w:p w:rsidR="0012210E" w:rsidRPr="00E4058D" w:rsidRDefault="0012210E" w:rsidP="00C57BE2">
      <w:pPr>
        <w:pStyle w:val="Notedebasdepage"/>
        <w:jc w:val="both"/>
        <w:rPr>
          <w:sz w:val="24"/>
          <w:szCs w:val="24"/>
        </w:rPr>
      </w:pPr>
      <w:r w:rsidRPr="00E4058D">
        <w:rPr>
          <w:rStyle w:val="Appelnotedebasdep"/>
          <w:sz w:val="24"/>
          <w:szCs w:val="24"/>
        </w:rPr>
        <w:footnoteRef/>
      </w:r>
      <w:r w:rsidRPr="00E4058D">
        <w:rPr>
          <w:rFonts w:hint="cs"/>
          <w:sz w:val="24"/>
          <w:szCs w:val="24"/>
          <w:rtl/>
        </w:rPr>
        <w:t>- أخرجه مسلم (1218).</w:t>
      </w:r>
    </w:p>
  </w:footnote>
  <w:footnote w:id="167">
    <w:p w:rsidR="0012210E" w:rsidRDefault="0012210E" w:rsidP="00C57BE2">
      <w:pPr>
        <w:pStyle w:val="Notedebasdepage"/>
        <w:jc w:val="both"/>
        <w:rPr>
          <w:rtl/>
        </w:rPr>
      </w:pPr>
      <w:r w:rsidRPr="009A0AB5">
        <w:rPr>
          <w:rStyle w:val="Appelnotedebasdep"/>
          <w:sz w:val="24"/>
          <w:szCs w:val="24"/>
        </w:rPr>
        <w:footnoteRef/>
      </w:r>
      <w:r w:rsidRPr="009A0AB5">
        <w:rPr>
          <w:rFonts w:hint="cs"/>
          <w:sz w:val="24"/>
          <w:szCs w:val="24"/>
          <w:rtl/>
        </w:rPr>
        <w:t>- القرافي، الذخيرة، دار الغرب الإسلامي، بيروت، ط1، 1994، ج12، ص119.</w:t>
      </w:r>
    </w:p>
  </w:footnote>
  <w:footnote w:id="168">
    <w:p w:rsidR="00643130" w:rsidRPr="00643130" w:rsidRDefault="00643130">
      <w:pPr>
        <w:pStyle w:val="Notedebasdepage"/>
        <w:rPr>
          <w:sz w:val="24"/>
          <w:szCs w:val="24"/>
        </w:rPr>
      </w:pPr>
      <w:r w:rsidRPr="00643130">
        <w:rPr>
          <w:rStyle w:val="Appelnotedebasdep"/>
          <w:sz w:val="24"/>
          <w:szCs w:val="24"/>
        </w:rPr>
        <w:footnoteRef/>
      </w:r>
      <w:r w:rsidRPr="00643130">
        <w:rPr>
          <w:sz w:val="24"/>
          <w:szCs w:val="24"/>
          <w:rtl/>
        </w:rPr>
        <w:t xml:space="preserve"> </w:t>
      </w:r>
      <w:r w:rsidRPr="00643130">
        <w:rPr>
          <w:rFonts w:hint="cs"/>
          <w:sz w:val="24"/>
          <w:szCs w:val="24"/>
          <w:rtl/>
        </w:rPr>
        <w:t>- سابق، فقه السنة، ج2، ص 361.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12210E">
    <w:pPr>
      <w:pStyle w:val="En-tt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B97321">
    <w:pPr>
      <w:pStyle w:val="En-tte"/>
      <w:rPr>
        <w:rtl/>
      </w:rPr>
    </w:pPr>
    <w:r>
      <w:rPr>
        <w:b/>
        <w:bCs/>
        <w:noProof/>
        <w:rtl/>
        <w:lang w:val="en-US" w:bidi="ar-SA"/>
      </w:rPr>
      <w:pict>
        <v:line id="رابط مستقيم 59" o:spid="_x0000_s2056" style="position:absolute;left:0;text-align:left;flip:y;z-index:251687936;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" strokecolor="black [3213]" strokeweight=".25pt">
          <v:stroke joinstyle="miter"/>
          <w10:wrap anchorx="margin"/>
        </v:line>
      </w:pict>
    </w:r>
    <w:r>
      <w:rPr>
        <w:b/>
        <w:bCs/>
        <w:noProof/>
        <w:rtl/>
        <w:lang w:val="en-US" w:bidi="ar-SA"/>
      </w:rPr>
      <w:pict>
        <v:line id="رابط مستقيم 60" o:spid="_x0000_s2055" style="position:absolute;left:0;text-align:left;flip:y;z-index:251686912;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" strokecolor="black [3213]" strokeweight="2.25pt">
          <v:stroke joinstyle="miter"/>
          <w10:wrap anchorx="margin"/>
        </v:line>
      </w:pict>
    </w:r>
    <w:r w:rsidR="0012210E">
      <w:rPr>
        <w:rFonts w:hint="cs"/>
        <w:b/>
        <w:bCs/>
        <w:rtl/>
      </w:rPr>
      <w:t>قائمة المصادر والمراجع ..................................................................</w:t>
    </w:r>
  </w:p>
  <w:p w:rsidR="0012210E" w:rsidRDefault="0012210E">
    <w:pPr>
      <w:pStyle w:val="En-tte"/>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12210E">
    <w:pPr>
      <w:pStyle w:val="En-tte"/>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546E2A">
    <w:pPr>
      <w:pStyle w:val="En-tte"/>
      <w:rPr>
        <w:rtl/>
      </w:rPr>
    </w:pPr>
    <w:r>
      <w:rPr>
        <w:b/>
        <w:bCs/>
        <w:noProof/>
        <w:rtl/>
        <w:lang w:val="en-US" w:bidi="ar-SA"/>
      </w:rPr>
      <w:pict>
        <v:line id="رابط مستقيم 72" o:spid="_x0000_s2052" style="position:absolute;left:0;text-align:left;flip:y;z-index:251694080;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" strokecolor="black [3213]" strokeweight=".25pt">
          <v:stroke joinstyle="miter"/>
          <w10:wrap anchorx="margin"/>
        </v:line>
      </w:pict>
    </w:r>
    <w:r>
      <w:rPr>
        <w:b/>
        <w:bCs/>
        <w:noProof/>
        <w:rtl/>
        <w:lang w:val="en-US" w:bidi="ar-SA"/>
      </w:rPr>
      <w:pict>
        <v:line id="رابط مستقيم 73" o:spid="_x0000_s2051" style="position:absolute;left:0;text-align:left;flip:y;z-index:251693056;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" strokecolor="black [3213]" strokeweight="2.25pt">
          <v:stroke joinstyle="miter"/>
          <w10:wrap anchorx="margin"/>
        </v:line>
      </w:pict>
    </w:r>
    <w:r w:rsidR="0012210E">
      <w:rPr>
        <w:rFonts w:hint="cs"/>
        <w:b/>
        <w:bCs/>
        <w:rtl/>
      </w:rPr>
      <w:t>الفهرس ...................................................................................</w:t>
    </w:r>
  </w:p>
  <w:p w:rsidR="0012210E" w:rsidRDefault="0012210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8A5D2D">
    <w:pPr>
      <w:pStyle w:val="En-tte"/>
      <w:outlineLvl w:val="0"/>
      <w:rPr>
        <w:rtl/>
      </w:rPr>
    </w:pPr>
    <w:r>
      <w:rPr>
        <w:b/>
        <w:bCs/>
        <w:noProof/>
        <w:rtl/>
        <w:lang w:val="en-US" w:bidi="ar-SA"/>
      </w:rPr>
      <w:pict>
        <v:line id="رابط مستقيم 14" o:spid="_x0000_s2072" style="position:absolute;left:0;text-align:left;flip:y;z-index:251660288;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" strokecolor="black [3213]" strokeweight=".25pt">
          <v:stroke joinstyle="miter"/>
          <w10:wrap anchorx="margin"/>
        </v:line>
      </w:pict>
    </w:r>
    <w:r>
      <w:rPr>
        <w:b/>
        <w:bCs/>
        <w:noProof/>
        <w:rtl/>
        <w:lang w:val="en-US" w:bidi="ar-SA"/>
      </w:rPr>
      <w:pict>
        <v:line id="رابط مستقيم 12" o:spid="_x0000_s2071" style="position:absolute;left:0;text-align:left;flip:y;z-index:251659264;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" strokecolor="black [3213]" strokeweight="2.25pt">
          <v:stroke joinstyle="miter"/>
          <w10:wrap anchorx="margin"/>
        </v:line>
      </w:pict>
    </w:r>
    <w:r w:rsidR="0012210E">
      <w:rPr>
        <w:rFonts w:hint="cs"/>
        <w:b/>
        <w:bCs/>
        <w:rtl/>
      </w:rPr>
      <w:t>مقدمة.................................................................................</w:t>
    </w:r>
  </w:p>
  <w:p w:rsidR="0012210E" w:rsidRPr="00596CFE" w:rsidRDefault="0012210E" w:rsidP="00596CF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596CFE" w:rsidRDefault="0012210E" w:rsidP="00596CF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562CF7">
    <w:pPr>
      <w:pStyle w:val="En-tte"/>
      <w:rPr>
        <w:rtl/>
      </w:rPr>
    </w:pPr>
    <w:r>
      <w:rPr>
        <w:b/>
        <w:bCs/>
        <w:noProof/>
        <w:rtl/>
        <w:lang w:val="en-US" w:bidi="ar-SA"/>
      </w:rPr>
      <w:pict>
        <v:line id="رابط مستقيم 19" o:spid="_x0000_s2068" style="position:absolute;left:0;text-align:left;flip:y;z-index:251666432;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" strokecolor="black [3213]" strokeweight=".25pt">
          <v:stroke joinstyle="miter"/>
          <w10:wrap anchorx="margin"/>
        </v:line>
      </w:pict>
    </w:r>
    <w:r>
      <w:rPr>
        <w:b/>
        <w:bCs/>
        <w:noProof/>
        <w:rtl/>
        <w:lang w:val="en-US" w:bidi="ar-SA"/>
      </w:rPr>
      <w:pict>
        <v:line id="رابط مستقيم 20" o:spid="_x0000_s2067" style="position:absolute;left:0;text-align:left;flip:y;z-index:251665408;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" strokecolor="black [3213]" strokeweight="2.25pt">
          <v:stroke joinstyle="miter"/>
          <w10:wrap anchorx="margin"/>
        </v:line>
      </w:pict>
    </w:r>
    <w:r w:rsidR="0012210E">
      <w:rPr>
        <w:rFonts w:hint="cs"/>
        <w:b/>
        <w:bCs/>
        <w:rtl/>
      </w:rPr>
      <w:t>الفصل الأول ................................................. قواعد عامة لنظام الصلح</w:t>
    </w:r>
  </w:p>
  <w:p w:rsidR="0012210E" w:rsidRPr="00562CF7" w:rsidRDefault="0012210E" w:rsidP="00596CFE">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562CF7" w:rsidRDefault="0012210E" w:rsidP="00596CFE">
    <w:pPr>
      <w:pStyle w:val="En-tt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C57BE2">
    <w:pPr>
      <w:pStyle w:val="En-tte"/>
      <w:rPr>
        <w:rtl/>
      </w:rPr>
    </w:pPr>
    <w:r>
      <w:rPr>
        <w:b/>
        <w:bCs/>
        <w:noProof/>
        <w:rtl/>
        <w:lang w:val="en-US" w:bidi="ar-SA"/>
      </w:rPr>
      <w:pict>
        <v:line id="رابط مستقيم 35" o:spid="_x0000_s2064" style="position:absolute;left:0;text-align:left;flip:y;z-index:251675648;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" strokecolor="black [3213]" strokeweight=".25pt">
          <v:stroke joinstyle="miter"/>
          <w10:wrap anchorx="margin"/>
        </v:line>
      </w:pict>
    </w:r>
    <w:r>
      <w:rPr>
        <w:b/>
        <w:bCs/>
        <w:noProof/>
        <w:rtl/>
        <w:lang w:val="en-US" w:bidi="ar-SA"/>
      </w:rPr>
      <w:pict>
        <v:line id="رابط مستقيم 36" o:spid="_x0000_s2063" style="position:absolute;left:0;text-align:left;flip:y;z-index:251674624;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" strokecolor="black [3213]" strokeweight="2.25pt">
          <v:stroke joinstyle="miter"/>
          <w10:wrap anchorx="margin"/>
        </v:line>
      </w:pict>
    </w:r>
    <w:r w:rsidR="0012210E">
      <w:rPr>
        <w:rFonts w:hint="cs"/>
        <w:b/>
        <w:bCs/>
        <w:rtl/>
      </w:rPr>
      <w:t>الفصل الثاني ............................................ نظام الصلح في قضايا الأسرة</w:t>
    </w:r>
  </w:p>
  <w:p w:rsidR="0012210E" w:rsidRPr="00562CF7" w:rsidRDefault="0012210E" w:rsidP="00596CFE">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562CF7" w:rsidRDefault="0012210E" w:rsidP="00596CFE">
    <w:pPr>
      <w:pStyle w:val="En-tt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Default="00BB7C56" w:rsidP="00C57BE2">
    <w:pPr>
      <w:pStyle w:val="En-tte"/>
      <w:rPr>
        <w:rtl/>
      </w:rPr>
    </w:pPr>
    <w:r>
      <w:rPr>
        <w:b/>
        <w:bCs/>
        <w:noProof/>
        <w:rtl/>
        <w:lang w:val="en-US" w:bidi="ar-SA"/>
      </w:rPr>
      <w:pict>
        <v:line id="رابط مستقيم 45" o:spid="_x0000_s2060" style="position:absolute;left:0;text-align:left;flip:y;z-index:251678720;visibility:visible;mso-position-horizontal:center;mso-position-horizontal-relative:margin;mso-height-relative:margin" from="0,31.2pt" to="47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" strokecolor="black [3213]" strokeweight=".25pt">
          <v:stroke joinstyle="miter"/>
          <w10:wrap anchorx="margin"/>
        </v:line>
      </w:pict>
    </w:r>
    <w:r>
      <w:rPr>
        <w:b/>
        <w:bCs/>
        <w:noProof/>
        <w:rtl/>
        <w:lang w:val="en-US" w:bidi="ar-SA"/>
      </w:rPr>
      <w:pict>
        <v:line id="رابط مستقيم 46" o:spid="_x0000_s2059" style="position:absolute;left:0;text-align:left;flip:y;z-index:251677696;visibility:visible;mso-position-horizontal:center;mso-position-horizontal-relative:margin;mso-height-relative:margin" from="0,28.2pt" to="474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" strokecolor="black [3213]" strokeweight="2.25pt">
          <v:stroke joinstyle="miter"/>
          <w10:wrap anchorx="margin"/>
        </v:line>
      </w:pict>
    </w:r>
    <w:r w:rsidR="0012210E">
      <w:rPr>
        <w:rFonts w:hint="cs"/>
        <w:b/>
        <w:bCs/>
        <w:rtl/>
      </w:rPr>
      <w:t>الخاتمة ................................................................................</w:t>
    </w:r>
  </w:p>
  <w:p w:rsidR="0012210E" w:rsidRPr="00562CF7" w:rsidRDefault="0012210E" w:rsidP="00596CFE">
    <w:pPr>
      <w:pStyle w:val="En-tt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10E" w:rsidRPr="00562CF7" w:rsidRDefault="0012210E" w:rsidP="00596CF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94D1D"/>
    <w:multiLevelType w:val="hybridMultilevel"/>
    <w:tmpl w:val="207A5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3C4125"/>
    <w:multiLevelType w:val="hybridMultilevel"/>
    <w:tmpl w:val="6EB8E67A"/>
    <w:lvl w:ilvl="0" w:tplc="4C526AB8">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E352FB6"/>
    <w:multiLevelType w:val="hybridMultilevel"/>
    <w:tmpl w:val="505075A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1273C9A"/>
    <w:multiLevelType w:val="hybridMultilevel"/>
    <w:tmpl w:val="3984F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ED805DA"/>
    <w:multiLevelType w:val="hybridMultilevel"/>
    <w:tmpl w:val="5C048058"/>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0661EDB"/>
    <w:multiLevelType w:val="hybridMultilevel"/>
    <w:tmpl w:val="083AEDA2"/>
    <w:lvl w:ilvl="0" w:tplc="72EC2968">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3B743A"/>
    <w:multiLevelType w:val="hybridMultilevel"/>
    <w:tmpl w:val="704A5BA0"/>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2E540D2"/>
    <w:multiLevelType w:val="hybridMultilevel"/>
    <w:tmpl w:val="1A08218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5C5056E"/>
    <w:multiLevelType w:val="hybridMultilevel"/>
    <w:tmpl w:val="5E9846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42172CB"/>
    <w:multiLevelType w:val="hybridMultilevel"/>
    <w:tmpl w:val="3C12C94E"/>
    <w:lvl w:ilvl="0" w:tplc="2AB00C64">
      <w:start w:val="1"/>
      <w:numFmt w:val="decimal"/>
      <w:lvlText w:val="%1)"/>
      <w:lvlJc w:val="left"/>
      <w:pPr>
        <w:ind w:left="785" w:hanging="360"/>
      </w:pPr>
      <w:rPr>
        <w:sz w:val="32"/>
        <w:szCs w:val="32"/>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10">
    <w:nsid w:val="77647E10"/>
    <w:multiLevelType w:val="hybridMultilevel"/>
    <w:tmpl w:val="9780A850"/>
    <w:lvl w:ilvl="0" w:tplc="803E2A54">
      <w:start w:val="1"/>
      <w:numFmt w:val="decimal"/>
      <w:lvlText w:val="%1)"/>
      <w:lvlJc w:val="left"/>
      <w:pPr>
        <w:ind w:left="720" w:hanging="360"/>
      </w:pPr>
      <w:rPr>
        <w:sz w:val="32"/>
        <w:szCs w:val="3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7B192E1A"/>
    <w:multiLevelType w:val="hybridMultilevel"/>
    <w:tmpl w:val="5ED444C6"/>
    <w:lvl w:ilvl="0" w:tplc="89028FBA">
      <w:numFmt w:val="bullet"/>
      <w:lvlText w:val="-"/>
      <w:lvlJc w:val="left"/>
      <w:pPr>
        <w:ind w:left="720" w:hanging="360"/>
      </w:pPr>
      <w:rPr>
        <w:rFonts w:ascii="Simplified Arabic" w:eastAsiaTheme="minorEastAsia" w:hAnsi="Simplified Arabic" w:cs="Simplified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0"/>
  </w:num>
  <w:num w:numId="4">
    <w:abstractNumId w:val="3"/>
  </w:num>
  <w:num w:numId="5">
    <w:abstractNumId w:val="5"/>
  </w:num>
  <w:num w:numId="6">
    <w:abstractNumId w:val="6"/>
  </w:num>
  <w:num w:numId="7">
    <w:abstractNumId w:val="7"/>
  </w:num>
  <w:num w:numId="8">
    <w:abstractNumId w:val="10"/>
  </w:num>
  <w:num w:numId="9">
    <w:abstractNumId w:val="2"/>
  </w:num>
  <w:num w:numId="10">
    <w:abstractNumId w:val="4"/>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60"/>
  <w:drawingGridVerticalSpacing w:val="435"/>
  <w:displayHorizontalDrawingGridEvery w:val="2"/>
  <w:characterSpacingControl w:val="doNotCompress"/>
  <w:hdrShapeDefaults>
    <o:shapedefaults v:ext="edit" spidmax="2073"/>
    <o:shapelayout v:ext="edit">
      <o:idmap v:ext="edit" data="2"/>
      <o:rules v:ext="edit">
        <o:r id="V:Rule1" type="connector" idref="#رابط كسهم مستقيم 7"/>
        <o:r id="V:Rule2" type="connector" idref="#رابط كسهم مستقيم 47"/>
        <o:r id="V:Rule3" type="connector" idref="#رابط كسهم مستقيم 61"/>
        <o:r id="V:Rule4" type="connector" idref="#رابط كسهم مستقيم 33"/>
        <o:r id="V:Rule5" type="connector" idref="#رابط كسهم مستقيم 21"/>
        <o:r id="V:Rule6" type="connector" idref="#رابط كسهم مستقيم 74"/>
      </o:rules>
    </o:shapelayout>
  </w:hdrShapeDefaults>
  <w:footnotePr>
    <w:footnote w:id="-1"/>
    <w:footnote w:id="0"/>
  </w:footnotePr>
  <w:endnotePr>
    <w:endnote w:id="-1"/>
    <w:endnote w:id="0"/>
  </w:endnotePr>
  <w:compat>
    <w:compatSetting w:name="compatibilityMode" w:uri="http://schemas.microsoft.com/office/word" w:val="12"/>
  </w:compat>
  <w:rsids>
    <w:rsidRoot w:val="007E1B2F"/>
    <w:rsid w:val="00003FBE"/>
    <w:rsid w:val="0006498B"/>
    <w:rsid w:val="000C1635"/>
    <w:rsid w:val="000D45C7"/>
    <w:rsid w:val="000F23EA"/>
    <w:rsid w:val="0012210E"/>
    <w:rsid w:val="00157F48"/>
    <w:rsid w:val="001923D4"/>
    <w:rsid w:val="00205FA4"/>
    <w:rsid w:val="00253BD7"/>
    <w:rsid w:val="00254EF6"/>
    <w:rsid w:val="002D783C"/>
    <w:rsid w:val="0039441E"/>
    <w:rsid w:val="003D2F60"/>
    <w:rsid w:val="003F26AB"/>
    <w:rsid w:val="00483052"/>
    <w:rsid w:val="004A2766"/>
    <w:rsid w:val="00546E2A"/>
    <w:rsid w:val="00554429"/>
    <w:rsid w:val="00557C39"/>
    <w:rsid w:val="00562CF7"/>
    <w:rsid w:val="00596CFE"/>
    <w:rsid w:val="005E045F"/>
    <w:rsid w:val="00643130"/>
    <w:rsid w:val="0069612B"/>
    <w:rsid w:val="00746A38"/>
    <w:rsid w:val="00784746"/>
    <w:rsid w:val="007E1B2F"/>
    <w:rsid w:val="008A5D2D"/>
    <w:rsid w:val="008D252B"/>
    <w:rsid w:val="00975D09"/>
    <w:rsid w:val="00A35044"/>
    <w:rsid w:val="00A359FD"/>
    <w:rsid w:val="00A511F1"/>
    <w:rsid w:val="00A94091"/>
    <w:rsid w:val="00AC0072"/>
    <w:rsid w:val="00AD73B9"/>
    <w:rsid w:val="00B17B5E"/>
    <w:rsid w:val="00B23640"/>
    <w:rsid w:val="00B97321"/>
    <w:rsid w:val="00BB7C56"/>
    <w:rsid w:val="00C44C3E"/>
    <w:rsid w:val="00C57BE2"/>
    <w:rsid w:val="00CB1ACF"/>
    <w:rsid w:val="00CC1C01"/>
    <w:rsid w:val="00DF3F5F"/>
    <w:rsid w:val="00E432B0"/>
    <w:rsid w:val="00E8372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implified Arabic" w:eastAsiaTheme="minorHAnsi" w:hAnsi="Simplified Arabic" w:cs="Simplified Arabic"/>
        <w:sz w:val="32"/>
        <w:szCs w:val="3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7C39"/>
    <w:pPr>
      <w:bidi/>
    </w:pPr>
    <w:rPr>
      <w:lang w:val="fr-FR" w:bidi="ar-DZ"/>
    </w:rPr>
  </w:style>
  <w:style w:type="paragraph" w:styleId="Titre1">
    <w:name w:val="heading 1"/>
    <w:basedOn w:val="Normal"/>
    <w:next w:val="Normal"/>
    <w:link w:val="Titre1Car"/>
    <w:uiPriority w:val="9"/>
    <w:qFormat/>
    <w:rsid w:val="000F23EA"/>
    <w:pPr>
      <w:keepNext/>
      <w:keepLines/>
      <w:spacing w:before="240" w:after="0"/>
      <w:outlineLvl w:val="0"/>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23EA"/>
    <w:rPr>
      <w:rFonts w:asciiTheme="majorHAnsi" w:eastAsiaTheme="majorEastAsia" w:hAnsiTheme="majorHAnsi" w:cstheme="majorBidi"/>
      <w:color w:val="2E74B5" w:themeColor="accent1" w:themeShade="BF"/>
      <w:lang w:val="fr-FR" w:bidi="ar-DZ"/>
    </w:rPr>
  </w:style>
  <w:style w:type="paragraph" w:styleId="Pieddepage">
    <w:name w:val="footer"/>
    <w:basedOn w:val="Normal"/>
    <w:link w:val="PieddepageCar"/>
    <w:uiPriority w:val="99"/>
    <w:unhideWhenUsed/>
    <w:rsid w:val="00557C3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557C39"/>
    <w:rPr>
      <w:lang w:val="fr-FR" w:bidi="ar-DZ"/>
    </w:rPr>
  </w:style>
  <w:style w:type="paragraph" w:styleId="NormalWeb">
    <w:name w:val="Normal (Web)"/>
    <w:basedOn w:val="Normal"/>
    <w:uiPriority w:val="99"/>
    <w:semiHidden/>
    <w:unhideWhenUsed/>
    <w:rsid w:val="00CB1ACF"/>
    <w:pPr>
      <w:bidi w:val="0"/>
      <w:spacing w:before="100" w:beforeAutospacing="1" w:after="100" w:afterAutospacing="1" w:line="240" w:lineRule="auto"/>
    </w:pPr>
    <w:rPr>
      <w:rFonts w:ascii="Times New Roman" w:eastAsiaTheme="minorEastAsia" w:hAnsi="Times New Roman" w:cs="Times New Roman"/>
      <w:sz w:val="24"/>
      <w:szCs w:val="24"/>
      <w:lang w:eastAsia="fr-FR" w:bidi="ar-SA"/>
    </w:rPr>
  </w:style>
  <w:style w:type="paragraph" w:styleId="En-tte">
    <w:name w:val="header"/>
    <w:basedOn w:val="Normal"/>
    <w:link w:val="En-tteCar"/>
    <w:uiPriority w:val="99"/>
    <w:unhideWhenUsed/>
    <w:rsid w:val="004A2766"/>
    <w:pPr>
      <w:tabs>
        <w:tab w:val="center" w:pos="4153"/>
        <w:tab w:val="right" w:pos="8306"/>
      </w:tabs>
      <w:spacing w:after="0" w:line="240" w:lineRule="auto"/>
    </w:pPr>
  </w:style>
  <w:style w:type="character" w:customStyle="1" w:styleId="En-tteCar">
    <w:name w:val="En-tête Car"/>
    <w:basedOn w:val="Policepardfaut"/>
    <w:link w:val="En-tte"/>
    <w:uiPriority w:val="99"/>
    <w:rsid w:val="004A2766"/>
    <w:rPr>
      <w:lang w:val="fr-FR" w:bidi="ar-DZ"/>
    </w:rPr>
  </w:style>
  <w:style w:type="paragraph" w:styleId="Paragraphedeliste">
    <w:name w:val="List Paragraph"/>
    <w:basedOn w:val="Normal"/>
    <w:uiPriority w:val="34"/>
    <w:qFormat/>
    <w:rsid w:val="004A2766"/>
    <w:pPr>
      <w:bidi w:val="0"/>
      <w:spacing w:after="200" w:line="276" w:lineRule="auto"/>
      <w:ind w:left="720"/>
      <w:contextualSpacing/>
    </w:pPr>
    <w:rPr>
      <w:rFonts w:asciiTheme="minorHAnsi" w:eastAsiaTheme="minorEastAsia" w:hAnsiTheme="minorHAnsi" w:cstheme="minorBidi"/>
      <w:sz w:val="22"/>
      <w:szCs w:val="22"/>
      <w:lang w:eastAsia="fr-FR" w:bidi="ar-SA"/>
    </w:rPr>
  </w:style>
  <w:style w:type="paragraph" w:styleId="Notedebasdepage">
    <w:name w:val="footnote text"/>
    <w:basedOn w:val="Normal"/>
    <w:link w:val="NotedebasdepageCar"/>
    <w:uiPriority w:val="99"/>
    <w:unhideWhenUsed/>
    <w:rsid w:val="00562CF7"/>
    <w:pPr>
      <w:spacing w:after="0" w:line="240" w:lineRule="auto"/>
    </w:pPr>
    <w:rPr>
      <w:sz w:val="20"/>
      <w:szCs w:val="20"/>
    </w:rPr>
  </w:style>
  <w:style w:type="character" w:customStyle="1" w:styleId="NotedebasdepageCar">
    <w:name w:val="Note de bas de page Car"/>
    <w:basedOn w:val="Policepardfaut"/>
    <w:link w:val="Notedebasdepage"/>
    <w:uiPriority w:val="99"/>
    <w:rsid w:val="00562CF7"/>
    <w:rPr>
      <w:sz w:val="20"/>
      <w:szCs w:val="20"/>
      <w:lang w:val="fr-FR" w:bidi="ar-DZ"/>
    </w:rPr>
  </w:style>
  <w:style w:type="character" w:styleId="Appelnotedebasdep">
    <w:name w:val="footnote reference"/>
    <w:basedOn w:val="Policepardfaut"/>
    <w:uiPriority w:val="99"/>
    <w:semiHidden/>
    <w:unhideWhenUsed/>
    <w:rsid w:val="00562CF7"/>
    <w:rPr>
      <w:vertAlign w:val="superscript"/>
    </w:rPr>
  </w:style>
  <w:style w:type="paragraph" w:styleId="En-ttedetabledesmatires">
    <w:name w:val="TOC Heading"/>
    <w:basedOn w:val="Titre1"/>
    <w:next w:val="Normal"/>
    <w:uiPriority w:val="39"/>
    <w:unhideWhenUsed/>
    <w:qFormat/>
    <w:rsid w:val="000F23EA"/>
    <w:pPr>
      <w:outlineLvl w:val="9"/>
    </w:pPr>
    <w:rPr>
      <w:rtl/>
      <w:lang w:val="en-US" w:bidi="ar-SA"/>
    </w:rPr>
  </w:style>
  <w:style w:type="paragraph" w:styleId="TM1">
    <w:name w:val="toc 1"/>
    <w:basedOn w:val="Normal"/>
    <w:next w:val="Normal"/>
    <w:autoRedefine/>
    <w:uiPriority w:val="39"/>
    <w:unhideWhenUsed/>
    <w:rsid w:val="000F23EA"/>
    <w:pPr>
      <w:tabs>
        <w:tab w:val="right" w:leader="dot" w:pos="9344"/>
      </w:tabs>
      <w:spacing w:after="100"/>
      <w:jc w:val="center"/>
    </w:pPr>
  </w:style>
  <w:style w:type="paragraph" w:styleId="TM2">
    <w:name w:val="toc 2"/>
    <w:basedOn w:val="Normal"/>
    <w:next w:val="Normal"/>
    <w:autoRedefine/>
    <w:uiPriority w:val="39"/>
    <w:unhideWhenUsed/>
    <w:rsid w:val="000F23EA"/>
    <w:pPr>
      <w:spacing w:after="100"/>
      <w:ind w:left="320"/>
    </w:pPr>
  </w:style>
  <w:style w:type="paragraph" w:styleId="TM3">
    <w:name w:val="toc 3"/>
    <w:basedOn w:val="Normal"/>
    <w:next w:val="Normal"/>
    <w:autoRedefine/>
    <w:uiPriority w:val="39"/>
    <w:unhideWhenUsed/>
    <w:rsid w:val="000F23EA"/>
    <w:pPr>
      <w:spacing w:after="100"/>
      <w:ind w:left="640"/>
    </w:pPr>
  </w:style>
  <w:style w:type="character" w:styleId="Lienhypertexte">
    <w:name w:val="Hyperlink"/>
    <w:basedOn w:val="Policepardfaut"/>
    <w:uiPriority w:val="99"/>
    <w:unhideWhenUsed/>
    <w:rsid w:val="000F23EA"/>
    <w:rPr>
      <w:color w:val="0563C1" w:themeColor="hyperlink"/>
      <w:u w:val="single"/>
    </w:rPr>
  </w:style>
  <w:style w:type="paragraph" w:styleId="Textedebulles">
    <w:name w:val="Balloon Text"/>
    <w:basedOn w:val="Normal"/>
    <w:link w:val="TextedebullesCar"/>
    <w:uiPriority w:val="99"/>
    <w:semiHidden/>
    <w:unhideWhenUsed/>
    <w:rsid w:val="0064313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43130"/>
    <w:rPr>
      <w:rFonts w:ascii="Tahoma" w:hAnsi="Tahoma" w:cs="Tahoma"/>
      <w:sz w:val="16"/>
      <w:szCs w:val="16"/>
      <w:lang w:val="fr-FR" w:bidi="ar-DZ"/>
    </w:rPr>
  </w:style>
  <w:style w:type="table" w:customStyle="1" w:styleId="Grilledutableau1">
    <w:name w:val="Grille du tableau1"/>
    <w:basedOn w:val="TableauNormal"/>
    <w:next w:val="Grilledutableau"/>
    <w:uiPriority w:val="59"/>
    <w:rsid w:val="00B23640"/>
    <w:pPr>
      <w:spacing w:after="0" w:line="240" w:lineRule="auto"/>
    </w:pPr>
    <w:rPr>
      <w:rFonts w:ascii="Calibri" w:eastAsia="Calibri" w:hAnsi="Calibri" w:cs="Arial"/>
      <w:sz w:val="22"/>
      <w:szCs w:val="22"/>
      <w:lang w:val="fr-F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Grilledutableau">
    <w:name w:val="Table Grid"/>
    <w:basedOn w:val="TableauNormal"/>
    <w:uiPriority w:val="39"/>
    <w:rsid w:val="00B236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27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hyperlink" Target="file:///C:\Users\SHINE4INFO\Desktop\&#1605;&#1584;&#1603;&#1585;&#1577;%20&#1605;&#1575;&#1587;&#1578;&#1585;%202015-2016\&#1575;&#1604;&#1605;&#1584;&#1603;&#1585;&#1577;%20&#1603;&#1575;&#1605;&#1604;&#1577;.docx"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12.xml"/><Relationship Id="rId42" Type="http://schemas.openxmlformats.org/officeDocument/2006/relationships/hyperlink" Target="file:///C:\Users\SHINE4INFO\Desktop\&#1605;&#1584;&#1603;&#1585;&#1577;%20&#1605;&#1575;&#1587;&#1578;&#1585;%202015-2016\&#1575;&#1604;&#1605;&#1584;&#1603;&#1585;&#1577;%20&#1603;&#1575;&#1605;&#1604;&#1577;.docx"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hyperlink" Target="file:///C:\Users\SHINE4INFO\Desktop\&#1605;&#1584;&#1603;&#1585;&#1577;%20&#1605;&#1575;&#1587;&#1578;&#1585;%202015-2016\&#1575;&#1604;&#1605;&#1584;&#1603;&#1585;&#1577;%20&#1603;&#1575;&#1605;&#1604;&#1577;.docx"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9.xml"/><Relationship Id="rId41" Type="http://schemas.openxmlformats.org/officeDocument/2006/relationships/hyperlink" Target="file:///C:\Users\SHINE4INFO\Desktop\&#1605;&#1584;&#1603;&#1585;&#1577;%20&#1605;&#1575;&#1587;&#1578;&#1585;%202015-2016\&#1575;&#1604;&#1605;&#1584;&#1603;&#1585;&#1577;%20&#1603;&#1575;&#1605;&#1604;&#1577;.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hyperlink" Target="file:///C:\Users\SHINE4INFO\Desktop\&#1605;&#1584;&#1603;&#1585;&#1577;%20&#1605;&#1575;&#1587;&#1578;&#1585;%202015-2016\&#1575;&#1604;&#1605;&#1584;&#1603;&#1585;&#1577;%20&#1603;&#1575;&#1605;&#1604;&#1577;.docx" TargetMode="External"/><Relationship Id="rId40" Type="http://schemas.openxmlformats.org/officeDocument/2006/relationships/hyperlink" Target="file:///C:\Users\SHINE4INFO\Desktop\&#1605;&#1584;&#1603;&#1585;&#1577;%20&#1605;&#1575;&#1587;&#1578;&#1585;%202015-2016\&#1575;&#1604;&#1605;&#1584;&#1603;&#1585;&#1577;%20&#1603;&#1575;&#1605;&#1604;&#1577;.docx" TargetMode="External"/><Relationship Id="rId45" Type="http://schemas.openxmlformats.org/officeDocument/2006/relationships/footer" Target="footer1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hyperlink" Target="file:///C:\Users\SHINE4INFO\Desktop\&#1605;&#1584;&#1603;&#1585;&#1577;%20&#1605;&#1575;&#1587;&#1578;&#1585;%202015-2016\&#1575;&#1604;&#1605;&#1584;&#1603;&#1585;&#1577;%20&#1603;&#1575;&#1605;&#1604;&#1577;.docx" TargetMode="Externa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header" Target="header10.xml"/><Relationship Id="rId44"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footer" Target="footer10.xml"/><Relationship Id="rId35" Type="http://schemas.openxmlformats.org/officeDocument/2006/relationships/hyperlink" Target="file:///C:\Users\SHINE4INFO\Desktop\&#1605;&#1584;&#1603;&#1585;&#1577;%20&#1605;&#1575;&#1587;&#1578;&#1585;%202015-2016\&#1575;&#1604;&#1605;&#1584;&#1603;&#1585;&#1577;%20&#1603;&#1575;&#1605;&#1604;&#1577;.docx" TargetMode="External"/><Relationship Id="rId43" Type="http://schemas.openxmlformats.org/officeDocument/2006/relationships/hyperlink" Target="file:///C:\Users\SHINE4INFO\Desktop\&#1605;&#1584;&#1603;&#1585;&#1577;%20&#1605;&#1575;&#1587;&#1578;&#1585;%202015-2016\&#1575;&#1604;&#1605;&#1584;&#1603;&#1585;&#1577;%20&#1603;&#1575;&#1605;&#1604;&#1577;.docx" TargetMode="Externa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73DE-FCC9-4D1B-9A78-77EE7A54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100</Pages>
  <Words>13833</Words>
  <Characters>76083</Characters>
  <Application>Microsoft Office Word</Application>
  <DocSecurity>0</DocSecurity>
  <Lines>634</Lines>
  <Paragraphs>179</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shine info</dc:creator>
  <cp:keywords/>
  <dc:description/>
  <cp:lastModifiedBy>hamza</cp:lastModifiedBy>
  <cp:revision>14</cp:revision>
  <cp:lastPrinted>2016-09-25T14:05:00Z</cp:lastPrinted>
  <dcterms:created xsi:type="dcterms:W3CDTF">2016-09-07T09:05:00Z</dcterms:created>
  <dcterms:modified xsi:type="dcterms:W3CDTF">2016-09-25T14:05:00Z</dcterms:modified>
</cp:coreProperties>
</file>